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5"/>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 开 招 标 文 件</w:t>
      </w:r>
      <w:r/>
    </w:p>
    <w:p>
      <w:pPr>
        <w:pStyle w:val="1035"/>
        <w:ind w:firstLine="0"/>
        <w:jc w:val="center"/>
        <w:rPr>
          <w:rFonts w:hint="eastAsia" w:ascii="黑体" w:hAnsi="华文中宋" w:eastAsia="黑体"/>
          <w:bCs/>
          <w:color w:val="000000" w:themeColor="text1"/>
          <w:spacing w:val="20"/>
          <w:sz w:val="52"/>
          <w:szCs w:val="52"/>
          <w:highlight w:val="white"/>
          <w14:textFill>
            <w14:solidFill>
              <w14:schemeClr w14:val="tx1"/>
            </w14:solidFill>
          </w14:textFill>
        </w:rPr>
      </w:pPr>
      <w:r>
        <w:rPr>
          <w:rFonts w:hint="eastAsia" w:ascii="黑体" w:hAnsi="华文中宋" w:eastAsia="黑体"/>
          <w:bCs/>
          <w:color w:val="000000" w:themeColor="text1"/>
          <w:spacing w:val="20"/>
          <w:sz w:val="52"/>
          <w:szCs w:val="5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35"/>
        <w:ind w:firstLine="0"/>
        <w:jc w:val="cente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JSZC-320200-XWJC-G2025-</w:t>
      </w:r>
      <w:bookmarkStart w:id="202" w:name="_GoBack"/>
      <w:r/>
      <w:bookmarkEnd w:id="202"/>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0110</w:t>
      </w:r>
      <w:r/>
    </w:p>
    <w:p>
      <w:pPr>
        <w:ind w:left="3200" w:hanging="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江南大学附属医院激光共聚焦显微镜项目</w:t>
      </w:r>
      <w:r/>
    </w:p>
    <w:p>
      <w:pPr>
        <w:ind w:firstLine="1600"/>
        <w:jc w:val="left"/>
        <w:spacing w:line="360" w:lineRule="auto"/>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 购 人：江南大学附属医院</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1600"/>
        <w:jc w:val="both"/>
        <w:spacing w:before="0" w:after="0"/>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r>
      <w:r/>
    </w:p>
    <w:p>
      <w:pPr>
        <w:pStyle w:val="1035"/>
        <w:ind w:firstLine="0"/>
        <w:jc w:val="center"/>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二〇二五年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十一</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23127445"/>
      <w:r/>
      <w:bookmarkStart w:id="2" w:name="_Toc479757206"/>
      <w:r/>
      <w:bookmarkStart w:id="3" w:name="_Toc16938516"/>
      <w:r/>
      <w:bookmarkStart w:id="4" w:name="_Toc513029200"/>
      <w:r/>
      <w:bookmarkStart w:id="5" w:name="_Toc20823272"/>
      <w:r/>
      <w:r/>
    </w:p>
    <w:p>
      <w:pPr>
        <w:pStyle w:val="1035"/>
        <w:ind w:firstLine="0"/>
        <w:jc w:val="center"/>
        <w:rPr>
          <w:rFonts w:hint="eastAsia"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采购需求---------------------------------（29）</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评标方法与评标标准-----------------------（36）</w:t>
      </w:r>
      <w:r/>
    </w:p>
    <w:p>
      <w:pPr>
        <w:numPr>
          <w:ilvl w:val="0"/>
          <w:numId w:val="4"/>
        </w:numPr>
        <w:spacing w:line="720" w:lineRule="auto"/>
        <w:rPr>
          <w:rFonts w:hint="eastAsia"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投标文件内容与格式-----------------------（41）</w:t>
      </w:r>
      <w:r/>
    </w:p>
    <w:p>
      <w:pPr>
        <w:pStyle w:val="752"/>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2"/>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2"/>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4"/>
        <w:ind w:firstLine="560"/>
        <w:spacing w:line="560" w:lineRule="exact"/>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52"/>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2"/>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r>
      <w:r/>
    </w:p>
    <w:p>
      <w:pPr>
        <w:pStyle w:val="735"/>
        <w:ind w:firstLine="0"/>
        <w:rPr>
          <w:highlight w:val="white"/>
        </w:rPr>
      </w:pPr>
      <w:r>
        <w:rPr>
          <w:highlight w:val="white"/>
        </w:rPr>
      </w:r>
      <w:r/>
    </w:p>
    <w:p>
      <w:pPr>
        <w:pStyle w:val="735"/>
        <w:ind w:firstLine="0"/>
        <w:rPr>
          <w:highlight w:val="white"/>
        </w:rPr>
      </w:pPr>
      <w:r>
        <w:rPr>
          <w:highlight w:val="white"/>
        </w:rPr>
      </w:r>
      <w:r/>
    </w:p>
    <w:p>
      <w:pPr>
        <w:pStyle w:val="735"/>
        <w:ind w:firstLine="0"/>
        <w:rPr>
          <w:highlight w:val="white"/>
        </w:rPr>
      </w:pPr>
      <w:r>
        <w:rPr>
          <w:highlight w:val="white"/>
        </w:rPr>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受江南大学附属医院的委托，无锡市卫生健康综合服务中心就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江南大学附属医院激光共聚焦显微镜项目</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JSZC-320200-XWJC-G2025-0110</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江南大学附属医院激光共聚焦显微镜项目</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下载的方式依法获取招标文件，并于2025年</w:t>
      </w:r>
      <w:r>
        <w:rPr>
          <w:rFonts w:hint="eastAsia" w:ascii="宋体" w:hAnsi="宋体"/>
          <w:color w:val="000000" w:themeColor="text1"/>
          <w:sz w:val="24"/>
          <w:szCs w:val="24"/>
          <w:highlight w:val="white"/>
          <w:lang w:val="en-US" w:eastAsia="zh-CN"/>
          <w14:textFill>
            <w14:solidFill>
              <w14:schemeClr w14:val="tx1"/>
            </w14:solidFill>
          </w14:textFill>
        </w:rPr>
        <w:t xml:space="preserve">12月16日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JSZC-320200-XWJC-G2025-0110</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江南大学附属医院激光共聚焦显微镜项目</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220</w:t>
      </w:r>
      <w:r>
        <w:rPr>
          <w:rFonts w:hint="eastAsia" w:ascii="宋体" w:hAnsi="宋体"/>
          <w:color w:val="000000" w:themeColor="text1"/>
          <w:sz w:val="24"/>
          <w:szCs w:val="24"/>
          <w:highlight w:val="white"/>
          <w14:textFill>
            <w14:solidFill>
              <w14:schemeClr w14:val="tx1"/>
            </w14:solidFill>
          </w14:textFill>
        </w:rPr>
        <w:t xml:space="preserve">万元/</w:t>
      </w:r>
      <w:r>
        <w:rPr>
          <w:rFonts w:hint="eastAsia" w:ascii="宋体" w:hAnsi="宋体"/>
          <w:color w:val="000000" w:themeColor="text1"/>
          <w:sz w:val="24"/>
          <w:szCs w:val="24"/>
          <w:highlight w:val="white"/>
          <w:lang w:val="en-US" w:eastAsia="zh-CN"/>
          <w14:textFill>
            <w14:solidFill>
              <w14:schemeClr w14:val="tx1"/>
            </w14:solidFill>
          </w14:textFill>
        </w:rPr>
        <w:t xml:space="preserve">1套</w:t>
      </w:r>
      <w:r/>
    </w:p>
    <w:p>
      <w:pPr>
        <w:ind w:firstLine="480"/>
        <w:spacing w:line="500" w:lineRule="exact"/>
        <w:rPr>
          <w:rFonts w:hint="eastAsia" w:ascii="宋体" w:hAnsi="宋体" w:cs="宋体"/>
          <w:i/>
          <w:i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220</w:t>
      </w:r>
      <w:r>
        <w:rPr>
          <w:rFonts w:hint="eastAsia" w:ascii="宋体" w:hAnsi="宋体"/>
          <w:color w:val="000000" w:themeColor="text1"/>
          <w:sz w:val="24"/>
          <w:szCs w:val="24"/>
          <w:highlight w:val="whit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28359003"/>
      <w:r/>
      <w:bookmarkStart w:id="13" w:name="_Toc28359080"/>
      <w:r/>
      <w:bookmarkStart w:id="14" w:name="_Toc35393791"/>
      <w:r/>
      <w:bookmarkStart w:id="15" w:name="_Toc38985264"/>
      <w:r/>
      <w:bookmarkStart w:id="16" w:name="_Toc35393622"/>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7" w:name="_Toc28359081"/>
      <w:r/>
      <w:bookmarkStart w:id="18" w:name="_Toc38985265"/>
      <w:r/>
      <w:bookmarkStart w:id="19" w:name="_Toc35393623"/>
      <w:r/>
      <w:bookmarkStart w:id="20" w:name="_Toc35393792"/>
      <w:r/>
      <w:bookmarkStart w:id="21" w:name="_Toc28359004"/>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w:t>
      </w:r>
      <w:r>
        <w:rPr>
          <w:rFonts w:hint="eastAsia" w:ascii="宋体" w:hAnsi="宋体"/>
          <w:color w:val="000000" w:themeColor="text1"/>
          <w:sz w:val="24"/>
          <w:szCs w:val="24"/>
          <w:highlight w:val="none"/>
          <w14:textFill>
            <w14:solidFill>
              <w14:schemeClr w14:val="tx1"/>
            </w14:solidFill>
          </w14:textFill>
        </w:rPr>
        <w:t xml:space="preserve">本项目</w:t>
      </w:r>
      <w:r>
        <w:rPr>
          <w:rFonts w:hint="eastAsia" w:ascii="宋体" w:hAnsi="宋体"/>
          <w:color w:val="000000" w:themeColor="text1"/>
          <w:sz w:val="24"/>
          <w:szCs w:val="24"/>
          <w:highlight w:val="none"/>
          <w:lang w:val="en-US" w:eastAsia="zh-CN"/>
          <w14:textFill>
            <w14:solidFill>
              <w14:schemeClr w14:val="tx1"/>
            </w14:solidFill>
          </w14:textFill>
        </w:rPr>
        <w:t xml:space="preserve">非</w:t>
      </w:r>
      <w:r>
        <w:rPr>
          <w:rFonts w:hint="eastAsia" w:ascii="宋体" w:hAnsi="宋体"/>
          <w:color w:val="000000" w:themeColor="text1"/>
          <w:sz w:val="24"/>
          <w:szCs w:val="24"/>
          <w:highlight w:val="none"/>
          <w14:textFill>
            <w14:solidFill>
              <w14:schemeClr w14:val="tx1"/>
            </w14:solidFill>
          </w14:textFill>
        </w:rPr>
        <w:t xml:space="preserve">专门面向中小企业</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 </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 </w:t>
      </w:r>
      <w:r/>
    </w:p>
    <w:p>
      <w:pPr>
        <w:ind w:firstLine="480"/>
        <w:spacing w:line="500" w:lineRule="exact"/>
        <w:rPr>
          <w:rFonts w:hint="eastAsia" w:ascii="宋体" w:hAnsi="宋体" w:eastAsia="宋体"/>
          <w:color w:val="000000" w:themeColor="text1"/>
          <w:sz w:val="24"/>
          <w:szCs w:val="24"/>
          <w:highlight w:val="white"/>
          <w:lang w:val="en-US" w:eastAsia="zh-CN"/>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无</w:t>
      </w:r>
      <w:r/>
    </w:p>
    <w:p>
      <w:pPr>
        <w:ind w:firstLine="480"/>
        <w:spacing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24"/>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2025年</w:t>
      </w:r>
      <w:r>
        <w:rPr>
          <w:rFonts w:hint="eastAsia" w:ascii="宋体" w:hAnsi="宋体"/>
          <w:color w:val="000000" w:themeColor="text1"/>
          <w:sz w:val="24"/>
          <w:szCs w:val="24"/>
          <w:highlight w:val="white"/>
          <w:lang w:val="en-US" w:eastAsia="zh-CN"/>
          <w14:textFill>
            <w14:solidFill>
              <w14:schemeClr w14:val="tx1"/>
            </w14:solidFill>
          </w14:textFill>
        </w:rPr>
        <w:t xml:space="preserve">12月16日</w:t>
      </w:r>
      <w:r>
        <w:rPr>
          <w:rFonts w:hint="eastAsia" w:ascii="宋体" w:hAnsi="宋体" w:cs="宋体"/>
          <w:color w:val="000000" w:themeColor="text1"/>
          <w:sz w:val="24"/>
          <w:szCs w:val="24"/>
          <w:highlight w:val="white"/>
          <w14:textFill>
            <w14:solidFill>
              <w14:schemeClr w14:val="tx1"/>
            </w14:solidFill>
          </w14:textFill>
        </w:rPr>
        <w:t xml:space="preserve">1</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lang w:val="en-US" w:eastAsia="zh-CN"/>
          <w14:textFill>
            <w14:solidFill>
              <w14:schemeClr w14:val="tx1"/>
            </w14:solidFill>
          </w14:textFill>
        </w:rPr>
        <w:t xml:space="preserve">3</w:t>
      </w:r>
      <w:r>
        <w:rPr>
          <w:rFonts w:hint="eastAsia" w:ascii="宋体" w:hAnsi="宋体" w:cs="宋体"/>
          <w:color w:val="000000" w:themeColor="text1"/>
          <w:sz w:val="24"/>
          <w:szCs w:val="24"/>
          <w:highlight w:val="white"/>
          <w14:textFill>
            <w14:solidFill>
              <w14:schemeClr w14:val="tx1"/>
            </w14:solidFill>
          </w14:textFill>
        </w:rPr>
        <w:t xml:space="preserve">0</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5393794"/>
      <w:r/>
      <w:bookmarkStart w:id="28" w:name="_Toc38985267"/>
      <w:r/>
      <w:bookmarkStart w:id="29" w:name="_Toc35393625"/>
      <w:r/>
      <w:bookmarkStart w:id="30" w:name="_Toc28359007"/>
      <w:r/>
      <w:bookmarkStart w:id="31" w:name="_Toc28359084"/>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bookmarkStart w:id="32" w:name="_Toc38985268"/>
      <w:r/>
      <w:bookmarkStart w:id="33" w:name="_Toc35393795"/>
      <w:r/>
      <w:bookmarkStart w:id="34" w:name="_Toc35393626"/>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35393796"/>
      <w:r/>
      <w:bookmarkStart w:id="36" w:name="_Toc28359085"/>
      <w:r/>
      <w:bookmarkStart w:id="37" w:name="_Toc38985269"/>
      <w:r/>
      <w:bookmarkStart w:id="38" w:name="_Toc28359008"/>
      <w:r/>
      <w:bookmarkStart w:id="39" w:name="_Toc35393627"/>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称：江南大学附属医院</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址：无锡市滨湖区和风路1000号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采购人项目咨询联系人：联系人姓名：林老师；电话：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white"/>
          <w:lang w:val="en-US" w:eastAsia="zh-CN"/>
          <w14:textFill>
            <w14:solidFill>
              <w14:schemeClr w14:val="tx1"/>
            </w14:solidFill>
          </w14:textFill>
        </w:rPr>
        <w:t xml:space="preserve">陆</w:t>
      </w:r>
      <w:r>
        <w:rPr>
          <w:rFonts w:hint="eastAsia" w:ascii="宋体" w:hAnsi="宋体" w:cs="宋体"/>
          <w:color w:val="000000" w:themeColor="text1"/>
          <w:sz w:val="24"/>
          <w:szCs w:val="24"/>
          <w:highlight w:val="white"/>
          <w14:textFill>
            <w14:solidFill>
              <w14:schemeClr w14:val="tx1"/>
            </w14:solidFill>
          </w14:textFill>
        </w:rPr>
        <w:t xml:space="preserve">老师；电话：</w:t>
      </w:r>
      <w:r>
        <w:rPr>
          <w:rFonts w:ascii="宋体" w:hAnsi="宋体" w:cs="宋体"/>
          <w:color w:val="000000" w:themeColor="text1"/>
          <w:sz w:val="24"/>
          <w:szCs w:val="24"/>
          <w:highlight w:val="white"/>
          <w14:textFill>
            <w14:solidFill>
              <w14:schemeClr w14:val="tx1"/>
            </w14:solidFill>
          </w14:textFill>
        </w:rPr>
        <w:t xml:space="preserve">0510-68089116</w:t>
      </w:r>
      <w:r/>
    </w:p>
    <w:p>
      <w:p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无锡市卫生健康综合服务中心项目联系人：孙老师；电话：0510-85757946</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hint="eastAsia"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20823275"/>
      <w:r/>
      <w:bookmarkStart w:id="48" w:name="_Toc16938519"/>
      <w:r/>
      <w:bookmarkStart w:id="49" w:name="_Toc513029203"/>
      <w:r/>
      <w:bookmarkStart w:id="50" w:name="_Toc120614214"/>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58" w:name="_Toc16938522"/>
      <w:r/>
      <w:bookmarkStart w:id="59" w:name="_Toc20823278"/>
      <w:r/>
      <w:bookmarkStart w:id="60" w:name="_Toc513029206"/>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 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1" w:name="_Toc462564067"/>
      <w:r/>
      <w:bookmarkStart w:id="62" w:name="_Toc16938523"/>
      <w:r/>
      <w:bookmarkStart w:id="63" w:name="_Toc20823279"/>
      <w:r/>
      <w:bookmarkStart w:id="64" w:name="_Toc513029207"/>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120614215"/>
      <w:r/>
      <w:bookmarkStart w:id="66" w:name="_Toc513029209"/>
      <w:r/>
      <w:bookmarkStart w:id="67" w:name="_Toc20823281"/>
      <w:r/>
      <w:bookmarkStart w:id="68" w:name="_Toc1693852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69" w:name="_Toc16938526"/>
      <w:r/>
      <w:bookmarkStart w:id="70" w:name="_Toc20823282"/>
      <w:r/>
      <w:bookmarkStart w:id="71" w:name="_Toc513029210"/>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2" w:name="_Toc513029211"/>
      <w:r/>
      <w:bookmarkStart w:id="73" w:name="_Toc16938527"/>
      <w:r/>
      <w:bookmarkStart w:id="74" w:name="_Toc462564070"/>
      <w:r/>
      <w:bookmarkStart w:id="75" w:name="_Toc20823283"/>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7.1</w:t>
      </w:r>
      <w:r>
        <w:rPr>
          <w:rFonts w:hint="eastAsia" w:ascii="宋体" w:hAnsi="宋体"/>
          <w:bCs/>
          <w:color w:val="000000"/>
          <w:sz w:val="24"/>
          <w:highlight w:val="white"/>
        </w:rPr>
        <w:t xml:space="preserve">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76" w:name="_Toc16938528"/>
      <w:r/>
      <w:bookmarkStart w:id="77" w:name="_Toc513029212"/>
      <w:r/>
      <w:bookmarkStart w:id="78" w:name="_Toc462564071"/>
      <w:r/>
      <w:bookmarkStart w:id="79" w:name="_Toc20823284"/>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513029213"/>
      <w:r/>
      <w:bookmarkStart w:id="81" w:name="_Toc16938529"/>
      <w:r/>
      <w:bookmarkStart w:id="82" w:name="_Toc20823285"/>
      <w:r/>
      <w:bookmarkStart w:id="83" w:name="_Toc462564072"/>
      <w:r/>
      <w:bookmarkStart w:id="84" w:name="_Toc120614216"/>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5" w:name="_Toc513029214"/>
      <w:r/>
      <w:bookmarkStart w:id="86" w:name="_Toc462564073"/>
      <w:r/>
      <w:bookmarkStart w:id="87" w:name="_Toc16938530"/>
      <w:r/>
      <w:bookmarkStart w:id="88" w:name="_Toc20823286"/>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hint="eastAsia"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 投标文件中的非中文材料，需同时提供经公证处公证的中文翻译件，公证内容应包括中文翻译件与原文一致的内容，并加盖投标人公章。</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89" w:name="_Toc16938531"/>
      <w:r/>
      <w:bookmarkStart w:id="90" w:name="_Toc20823287"/>
      <w:r/>
      <w:bookmarkStart w:id="91" w:name="_Toc462564074"/>
      <w:r/>
      <w:bookmarkStart w:id="92" w:name="_Toc513029215"/>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93" w:name="_Hlt26954838"/>
      <w:r/>
      <w:bookmarkEnd w:id="93"/>
      <w:r/>
      <w:bookmarkStart w:id="94" w:name="_Hlt26668975"/>
      <w:r/>
      <w:bookmarkEnd w:id="94"/>
      <w:r/>
      <w:bookmarkStart w:id="95" w:name="_Hlt26670360"/>
      <w:r/>
      <w:bookmarkEnd w:id="95"/>
      <w:r/>
      <w:bookmarkStart w:id="96" w:name="_Toc513029216"/>
      <w:r/>
      <w:bookmarkStart w:id="97" w:name="_Toc14577354"/>
      <w:r/>
      <w:bookmarkStart w:id="98" w:name="_Toc14577357"/>
      <w:r/>
      <w:bookmarkStart w:id="99" w:name="_Toc49090509"/>
      <w:r/>
      <w:bookmarkStart w:id="100" w:name="_Toc49090507"/>
      <w:r/>
      <w:bookmarkStart w:id="101" w:name="_Toc513029219"/>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08" w:name="_Hlt26668983"/>
      <w:r/>
      <w:bookmarkEnd w:id="108"/>
      <w:r/>
      <w:bookmarkStart w:id="109" w:name="_Hlt26954846"/>
      <w:r/>
      <w:bookmarkEnd w:id="109"/>
      <w:r/>
      <w:bookmarkStart w:id="110" w:name="_Hlt26954848"/>
      <w:r/>
      <w:bookmarkEnd w:id="110"/>
      <w:r/>
      <w:bookmarkStart w:id="111" w:name="_Hlt26954842"/>
      <w:r/>
      <w:bookmarkEnd w:id="111"/>
      <w:r/>
      <w:bookmarkStart w:id="112" w:name="_Hlt26670482"/>
      <w:r/>
      <w:bookmarkEnd w:id="112"/>
      <w:r/>
      <w:bookmarkStart w:id="113" w:name="_Hlt26954844"/>
      <w:r/>
      <w:bookmarkEnd w:id="113"/>
      <w:r/>
      <w:bookmarkStart w:id="114" w:name="_Hlt26670425"/>
      <w:r/>
      <w:bookmarkEnd w:id="114"/>
      <w:r/>
      <w:bookmarkStart w:id="115" w:name="_Hlt26670403"/>
      <w:r/>
      <w:bookmarkEnd w:id="115"/>
      <w:r/>
      <w:bookmarkStart w:id="116" w:name="_Hlt26954731"/>
      <w:r/>
      <w:bookmarkEnd w:id="116"/>
      <w:r/>
      <w:bookmarkStart w:id="117" w:name="_Hlt26670486"/>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852"/>
      <w:r/>
      <w:bookmarkEnd w:id="123"/>
      <w:r/>
      <w:bookmarkStart w:id="124" w:name="_Hlt26954739"/>
      <w:r/>
      <w:bookmarkEnd w:id="124"/>
      <w:r/>
      <w:bookmarkStart w:id="125" w:name="_Toc513029224"/>
      <w:r/>
      <w:bookmarkStart w:id="126" w:name="_Toc20823296"/>
      <w:r/>
      <w:bookmarkStart w:id="127" w:name="_Toc16938540"/>
      <w:r/>
      <w:bookmarkStart w:id="128" w:name="_Toc120614217"/>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29" w:name="_Toc462564084"/>
      <w:r/>
      <w:bookmarkStart w:id="130" w:name="_Toc16938541"/>
      <w:r/>
      <w:bookmarkStart w:id="131" w:name="_Toc20823297"/>
      <w:r/>
      <w:bookmarkStart w:id="132" w:name="_Toc513029225"/>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60"/>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513029226"/>
      <w:r/>
      <w:bookmarkStart w:id="134" w:name="_Toc20823298"/>
      <w:r/>
      <w:bookmarkStart w:id="135" w:name="_Toc16938542"/>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6" w:name="_Toc513029227"/>
      <w:r/>
      <w:bookmarkStart w:id="137" w:name="_Toc16938543"/>
      <w:r/>
      <w:bookmarkStart w:id="138" w:name="_Toc20823299"/>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39" w:name="_Toc20823300"/>
      <w:r/>
      <w:bookmarkStart w:id="140" w:name="_Toc16938544"/>
      <w:r/>
      <w:bookmarkStart w:id="141" w:name="_Toc513029228"/>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6938545"/>
      <w:r/>
      <w:bookmarkStart w:id="143" w:name="_Toc20823301"/>
      <w:r/>
      <w:bookmarkStart w:id="144" w:name="_Toc120614218"/>
      <w:r/>
      <w:bookmarkStart w:id="145" w:name="_Toc513029229"/>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6" w:name="_Toc20823302"/>
      <w:r/>
      <w:bookmarkStart w:id="147" w:name="_Toc513029230"/>
      <w:r/>
      <w:bookmarkStart w:id="148" w:name="_Toc16938546"/>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49" w:name="_Toc20823303"/>
      <w:r/>
      <w:bookmarkStart w:id="150" w:name="_Toc16938547"/>
      <w:r/>
      <w:bookmarkStart w:id="151" w:name="_Toc513029231"/>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hint="eastAsia"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2" w:name="_Toc513029232"/>
      <w:r/>
      <w:bookmarkStart w:id="153" w:name="_Toc20823304"/>
      <w:r/>
      <w:bookmarkStart w:id="154" w:name="_Toc16938548"/>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55" w:name="_Toc16938549"/>
      <w:r/>
      <w:bookmarkStart w:id="156" w:name="_Toc513029233"/>
      <w:r/>
      <w:bookmarkStart w:id="157" w:name="_Toc20823305"/>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default" w:ascii="宋体" w:hAnsi="宋体"/>
          <w:bCs/>
          <w:color w:val="000000" w:themeColor="text1"/>
          <w:sz w:val="24"/>
          <w:highlight w:val="white"/>
          <w14:textFill>
            <w14:solidFill>
              <w14:schemeClr w14:val="tx1"/>
            </w14:solidFill>
          </w14:textFill>
        </w:rPr>
      </w:pPr>
      <w:r/>
      <w:bookmarkStart w:id="158" w:name="_Toc513029234"/>
      <w:r/>
      <w:bookmarkStart w:id="159" w:name="_Toc16938550"/>
      <w:r/>
      <w:bookmarkStart w:id="160" w:name="_Toc20823306"/>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w:t>
      </w:r>
      <w:r>
        <w:rPr>
          <w:rFonts w:hint="eastAsia" w:ascii="宋体" w:hAnsi="宋体"/>
          <w:bCs/>
          <w:color w:val="000000" w:themeColor="text1"/>
          <w:sz w:val="24"/>
          <w:highlight w:val="white"/>
          <w14:textFill>
            <w14:solidFill>
              <w14:schemeClr w14:val="tx1"/>
            </w14:solidFill>
          </w14:textFill>
        </w:rPr>
        <w:t xml:space="preserve">评标过程中出现下列情形之一的，评标委员会应当启动异常低价投标审查程序：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投标报价低于招标项目预算50%的，即投标报价&lt;招标项目预算×50%；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w:t>
      </w:r>
      <w:r>
        <w:rPr>
          <w:rFonts w:hint="eastAsia" w:ascii="宋体" w:hAnsi="宋体"/>
          <w:bCs/>
          <w:color w:val="000000" w:themeColor="text1"/>
          <w:sz w:val="24"/>
          <w:highlight w:val="white"/>
          <w14:textFill>
            <w14:solidFill>
              <w14:schemeClr w14:val="tx1"/>
            </w14:solidFill>
          </w14:textFill>
        </w:rPr>
        <w:t xml:space="preserve">投标报价低于招标项目最高限价45%的，即投标报价&lt;招标项目最高限价×45% ； </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（3）评标委员会认定的投标人报价过低、有可能影响产品质量或者不能诚信履约的其他情形。</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w:t>
      </w:r>
      <w:r>
        <w:rPr>
          <w:rFonts w:hint="eastAsia" w:ascii="宋体" w:hAnsi="宋体"/>
          <w:bCs/>
          <w:color w:val="000000" w:themeColor="text1"/>
          <w:sz w:val="24"/>
          <w:highlight w:val="white"/>
          <w14:textFill>
            <w14:solidFill>
              <w14:schemeClr w14:val="tx1"/>
            </w14:solidFill>
          </w14:textFill>
        </w:rPr>
        <w:t xml:space="preserve">启动异常低价投标审查后，评标委员会应当要求相关投标人在评标现场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pStyle w:val="954"/>
        <w:ind w:firstLine="422"/>
        <w:keepLines w:val="0"/>
        <w:keepNext w:val="0"/>
        <w:spacing w:before="0" w:after="0" w:line="500" w:lineRule="exact"/>
        <w:rPr>
          <w:rFonts w:hint="eastAsia" w:ascii="宋体" w:hAnsi="宋体" w:eastAsia="宋体" w:cs="Times New Roman"/>
          <w:b w:val="0"/>
          <w:bCs/>
          <w:color w:val="000000" w:themeColor="text1"/>
          <w:sz w:val="24"/>
          <w:szCs w:val="21"/>
          <w:highlight w:val="white"/>
          <w14:textFill>
            <w14:solidFill>
              <w14:schemeClr w14:val="tx1"/>
            </w14:solidFill>
          </w14:textFill>
        </w:rPr>
      </w:pPr>
      <w:r>
        <w:rPr>
          <w:rFonts w:hint="eastAsia" w:ascii="宋体" w:hAnsi="宋体" w:eastAsia="宋体" w:cs="Times New Roman"/>
          <w:b w:val="0"/>
          <w:bCs/>
          <w:color w:val="000000" w:themeColor="text1"/>
          <w:sz w:val="24"/>
          <w:szCs w:val="21"/>
          <w:highlight w:val="white"/>
          <w:lang w:val="en-US" w:eastAsia="zh-CN" w:bidi="ar-SA"/>
          <w14:textFill>
            <w14:solidFill>
              <w14:schemeClr w14:val="tx1"/>
            </w14:solidFill>
          </w14:textFill>
        </w:rPr>
        <w:t xml:space="preserve">25.7投标人在开、评标全过程中应保持通信畅通，及时登录“苏采云”系统查阅、答复相关信息，并安排专人随时接受与代理机构及评标委员会的相关询问。</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hint="eastAsia" w:ascii="宋体" w:hAnsi="宋体"/>
          <w:bCs/>
          <w:color w:val="000000" w:themeColor="text1"/>
          <w:sz w:val="24"/>
          <w:highlight w:val="white"/>
          <w14:textFill>
            <w14:solidFill>
              <w14:schemeClr w14:val="tx1"/>
            </w14:solidFill>
          </w14:textFill>
        </w:rPr>
      </w:pPr>
      <w:r/>
      <w:bookmarkStart w:id="161" w:name="_Toc16938551"/>
      <w:r/>
      <w:bookmarkStart w:id="162" w:name="_Toc513029235"/>
      <w:r/>
      <w:bookmarkStart w:id="163" w:name="_Toc20823307"/>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\o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bCs/>
          <w:color w:val="000000" w:themeColor="text1"/>
          <w:sz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在评标现场</w:t>
      </w:r>
      <w:r>
        <w:rPr>
          <w:rFonts w:hint="eastAsia" w:ascii="宋体" w:hAnsi="宋体"/>
          <w:color w:val="000000" w:themeColor="text1"/>
          <w:sz w:val="24"/>
          <w:szCs w:val="24"/>
          <w:highlight w:val="white"/>
          <w14:textFill>
            <w14:solidFill>
              <w14:schemeClr w14:val="tx1"/>
            </w14:solidFill>
          </w14:textFill>
        </w:rPr>
        <w:t xml:space="preserve">）给定的</w:t>
      </w:r>
      <w:r>
        <w:rPr>
          <w:rFonts w:hint="eastAsia" w:ascii="宋体" w:hAnsi="宋体"/>
          <w:bCs/>
          <w:color w:val="000000" w:themeColor="text1"/>
          <w:sz w:val="24"/>
          <w:szCs w:val="24"/>
          <w:highlight w:val="white"/>
          <w14:textFill>
            <w14:solidFill>
              <w14:schemeClr w14:val="tx1"/>
            </w14:solidFill>
          </w14:textFill>
        </w:rPr>
        <w:t xml:space="preserve">合理时间内提供说明（必要时评标委员会可要求投标人提交相关证明材料）证明其报价合理性的</w:t>
      </w:r>
      <w:r>
        <w:rPr>
          <w:rFonts w:hint="eastAsia" w:ascii="宋体" w:hAnsi="宋体"/>
          <w:bCs/>
          <w:color w:val="000000" w:themeColor="text1"/>
          <w:sz w:val="24"/>
          <w:highlight w:val="white"/>
          <w14:textFill>
            <w14:solidFill>
              <w14:schemeClr w14:val="tx1"/>
            </w14:solidFill>
          </w14:textFill>
        </w:rPr>
        <w:t xml:space="preserve">，评标委员会应当将其作为无效投标处理。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26.1.23投标文件内容不全或不符合招标文件中规定的其他实质性要求和条件的</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26.1.24其他法律法规及本招标文件规定的属无效投标的情形。</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26.2.1符合专业条件的供应商或者对招标文件做实质响应的供应商不足三家的。</w:t>
      </w:r>
      <w:r/>
    </w:p>
    <w:p>
      <w:pPr>
        <w:ind w:left="479"/>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26.2.2出现影响采购公正的违法、违规行为的。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26.2.3因重大变故，采购任务取消的。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 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65" w:name="_Toc513029238"/>
      <w:r/>
      <w:bookmarkStart w:id="166" w:name="_Toc16938554"/>
      <w:r/>
      <w:bookmarkStart w:id="167" w:name="_Toc20823310"/>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 </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 不同投标人的投标文件载明的项目管理成员或者联系人员为同一人。</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 以下情形的质疑不予受理</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 内容不符合《政府采购质疑和投诉办法》第十二条规定的质疑。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 超出政府采购法定期限的质疑。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 以传真、电子邮件等方式递交的非原件形式的质疑。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53"/>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20823308"/>
      <w:r/>
      <w:bookmarkStart w:id="170" w:name="_Toc16938552"/>
      <w:r/>
      <w:bookmarkStart w:id="171" w:name="_Toc120614220"/>
      <w:r/>
      <w:bookmarkStart w:id="172" w:name="_Toc513029236"/>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bookmarkStart w:id="173" w:name="_Toc16938553"/>
      <w:r/>
      <w:bookmarkStart w:id="174" w:name="_Toc20823309"/>
      <w:r/>
      <w:bookmarkStart w:id="175" w:name="_Toc513029237"/>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954"/>
        <w:ind w:firstLine="422"/>
        <w:keepLines w:val="0"/>
        <w:keepNext w:val="0"/>
        <w:spacing w:before="0" w:after="0" w:line="500" w:lineRule="exact"/>
        <w:rPr>
          <w:rFonts w:hint="eastAsia"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3"/>
      <w:r/>
      <w:bookmarkEnd w:id="174"/>
      <w:r/>
      <w:bookmarkEnd w:id="175"/>
      <w:r/>
      <w:r/>
    </w:p>
    <w:p>
      <w:pPr>
        <w:pStyle w:val="952"/>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513029242"/>
      <w:r/>
      <w:bookmarkStart w:id="177" w:name="_Toc20823314"/>
      <w:r/>
      <w:bookmarkStart w:id="178" w:name="_Toc120614221"/>
      <w:r/>
      <w:bookmarkStart w:id="179" w:name="_Toc479757207"/>
      <w:r/>
      <w:bookmarkStart w:id="180" w:name="_Toc16938558"/>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spacing w:line="400" w:lineRule="exact"/>
        <w:rPr>
          <w:rFonts w:hint="eastAsia" w:ascii="宋体" w:hAnsi="宋体" w:cs="宋体"/>
          <w:bCs/>
          <w:sz w:val="24"/>
          <w:szCs w:val="24"/>
          <w:highlight w:val="white"/>
        </w:rPr>
      </w:pPr>
      <w:r/>
      <w:bookmarkStart w:id="181" w:name="_Hlt16619350"/>
      <w:r/>
      <w:bookmarkStart w:id="182" w:name="_Toc20823346"/>
      <w:r/>
      <w:bookmarkStart w:id="183" w:name="_Toc120614244"/>
      <w:r/>
      <w:bookmarkStart w:id="184" w:name="_Toc16938590"/>
      <w:r/>
      <w:bookmarkStart w:id="185" w:name="_Toc479757211"/>
      <w:r/>
      <w:bookmarkStart w:id="186" w:name="_Toc462564139"/>
      <w:r>
        <w:rPr>
          <w:rFonts w:hint="eastAsia" w:ascii="宋体" w:hAnsi="宋体" w:cs="宋体"/>
          <w:bCs/>
          <w:sz w:val="24"/>
          <w:szCs w:val="24"/>
          <w:highlight w:val="white"/>
        </w:rPr>
        <w:t xml:space="preserve">项目名称：</w:t>
      </w:r>
      <w:r/>
    </w:p>
    <w:p>
      <w:pPr>
        <w:jc w:val="left"/>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项目编号：</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甲方：（采购人）_________</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乙方：（成交方）_________</w:t>
      </w:r>
      <w:r/>
    </w:p>
    <w:p>
      <w:pPr>
        <w:ind w:firstLine="480"/>
        <w:spacing w:line="400" w:lineRule="exact"/>
        <w:rPr>
          <w:rFonts w:hint="eastAsia" w:ascii="宋体" w:hAnsi="宋体" w:cs="宋体"/>
          <w:b/>
          <w:sz w:val="24"/>
          <w:szCs w:val="24"/>
          <w:highlight w:val="white"/>
        </w:rPr>
      </w:pPr>
      <w:r>
        <w:rPr>
          <w:rFonts w:hint="eastAsia" w:ascii="宋体" w:hAnsi="宋体" w:cs="宋体"/>
          <w:sz w:val="24"/>
          <w:szCs w:val="24"/>
          <w:highlight w:val="white"/>
        </w:rPr>
        <w:t xml:space="preserve">甲、乙双方根据无锡市卫生健康综合服务中心</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项目招标的结果，签署本合同。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一、合同内容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 采购内容：货物名称、规格型号、数量、单价、成交总价</w:t>
      </w:r>
      <w:r/>
    </w:p>
    <w:tbl>
      <w:tblPr>
        <w:tblStyle w:val="755"/>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475"/>
        <w:gridCol w:w="1372"/>
        <w:gridCol w:w="1509"/>
        <w:gridCol w:w="1381"/>
        <w:gridCol w:w="1165"/>
        <w:gridCol w:w="1394"/>
      </w:tblGrid>
      <w:tr>
        <w:trPr/>
        <w:tc>
          <w:tcPr>
            <w:tcW w:w="1475"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设备名称</w:t>
            </w:r>
            <w:r/>
          </w:p>
        </w:tc>
        <w:tc>
          <w:tcPr>
            <w:tcW w:w="1372"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生产厂家</w:t>
            </w:r>
            <w:r/>
          </w:p>
        </w:tc>
        <w:tc>
          <w:tcPr>
            <w:tcW w:w="1509" w:type="dxa"/>
            <w:vAlign w:val="center"/>
            <w:textDirection w:val="lrTb"/>
            <w:noWrap w:val="false"/>
          </w:tcPr>
          <w:p>
            <w:pPr>
              <w:jc w:val="cente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规格型号</w:t>
            </w:r>
            <w:r/>
          </w:p>
        </w:tc>
        <w:tc>
          <w:tcPr>
            <w:tcW w:w="1381"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数量</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（台/套）</w:t>
            </w:r>
            <w:r/>
          </w:p>
        </w:tc>
        <w:tc>
          <w:tcPr>
            <w:tcW w:w="1165"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单价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c>
          <w:tcPr>
            <w:tcW w:w="1394" w:type="dxa"/>
            <w:vAlign w:val="center"/>
            <w:textDirection w:val="lrTb"/>
            <w:noWrap w:val="false"/>
          </w:tcPr>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成交总价</w:t>
            </w:r>
            <w:r/>
          </w:p>
          <w:p>
            <w:pPr>
              <w:jc w:val="center"/>
              <w:spacing w:line="300" w:lineRule="exact"/>
              <w:rPr>
                <w:rFonts w:hint="eastAsia" w:ascii="宋体" w:hAnsi="宋体" w:cs="宋体"/>
                <w:sz w:val="24"/>
                <w:szCs w:val="24"/>
                <w:highlight w:val="white"/>
              </w:rPr>
            </w:pPr>
            <w:r>
              <w:rPr>
                <w:rFonts w:hint="eastAsia" w:ascii="宋体" w:hAnsi="宋体" w:cs="宋体"/>
                <w:sz w:val="24"/>
                <w:szCs w:val="24"/>
                <w:highlight w:val="white"/>
              </w:rPr>
              <w:t xml:space="preserve">（元）</w:t>
            </w:r>
            <w:r/>
          </w:p>
        </w:tc>
      </w:tr>
      <w:tr>
        <w:trPr/>
        <w:tc>
          <w:tcPr>
            <w:tcW w:w="147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72"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50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81"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165"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c>
          <w:tcPr>
            <w:tcW w:w="1394"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tc>
      </w:tr>
      <w:tr>
        <w:trPr/>
        <w:tc>
          <w:tcPr>
            <w:gridSpan w:val="4"/>
            <w:tcW w:w="5737"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总计（大写）：</w:t>
            </w:r>
            <w:r/>
          </w:p>
        </w:tc>
        <w:tc>
          <w:tcPr>
            <w:gridSpan w:val="2"/>
            <w:tcW w:w="2559" w:type="dxa"/>
            <w:textDirection w:val="lrTb"/>
            <w:noWrap w:val="false"/>
          </w:tcPr>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（小写）：</w:t>
            </w:r>
            <w:r/>
          </w:p>
        </w:tc>
      </w:tr>
    </w:tbl>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以上价格均为含税价格。</w:t>
      </w:r>
      <w:r/>
    </w:p>
    <w:p>
      <w:pPr>
        <w:ind w:firstLine="480"/>
        <w:spacing w:line="400" w:lineRule="exact"/>
        <w:rPr>
          <w:rFonts w:hint="eastAsia" w:ascii="宋体" w:hAnsi="宋体" w:cs="宋体"/>
          <w:i/>
          <w:iCs/>
          <w:sz w:val="24"/>
          <w:szCs w:val="24"/>
          <w:highlight w:val="white"/>
        </w:rPr>
      </w:pPr>
      <w:r>
        <w:rPr>
          <w:rFonts w:hint="eastAsia" w:ascii="宋体" w:hAnsi="宋体" w:cs="宋体"/>
          <w:sz w:val="24"/>
          <w:szCs w:val="24"/>
          <w:highlight w:val="white"/>
        </w:rPr>
        <w:t xml:space="preserve">1.2 标的质量与检验：</w:t>
      </w:r>
      <w:r>
        <w:rPr>
          <w:rFonts w:hint="eastAsia" w:ascii="宋体" w:hAnsi="宋体" w:cs="宋体"/>
          <w:i/>
          <w:iCs/>
          <w:sz w:val="24"/>
          <w:szCs w:val="24"/>
          <w:highlight w:val="white"/>
        </w:rPr>
        <w:t xml:space="preserve"> </w:t>
      </w:r>
      <w:r/>
    </w:p>
    <w:p>
      <w:pPr>
        <w:ind w:firstLine="480"/>
        <w:spacing w:line="336" w:lineRule="auto"/>
        <w:tabs>
          <w:tab w:val="left" w:pos="525"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1.2.4货物和系统调试验收标准：按行业通行标准、厂方出厂标准、招标文件要求和乙方投标文件的承诺，并不低于国家相关标准。</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1.3履行时间（交货或完工期限）：合同生效之日起</w:t>
      </w:r>
      <w:r>
        <w:rPr>
          <w:rFonts w:hint="eastAsia" w:ascii="宋体" w:hAnsi="宋体" w:cs="宋体"/>
          <w:sz w:val="24"/>
          <w:szCs w:val="24"/>
          <w:highlight w:val="white"/>
          <w:u w:val="single"/>
        </w:rPr>
        <w:t xml:space="preserve">  </w:t>
      </w:r>
      <w:r>
        <w:rPr>
          <w:rFonts w:hint="eastAsia" w:ascii="宋体" w:hAnsi="宋体" w:cs="宋体"/>
          <w:sz w:val="24"/>
          <w:szCs w:val="24"/>
          <w:highlight w:val="white"/>
          <w:u w:val="single"/>
          <w:lang w:val="en-US" w:eastAsia="zh-CN"/>
        </w:rPr>
        <w:t xml:space="preserve"> </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天内，交货并完成安装调试。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1.4履行地点： 甲方所在地指定地点。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1.5履行方式：由乙方负责办理运输及装卸，直接送至甲方指定地点，并负责安装、调试、使用维护培训、售后服务等，所有费用由乙方承担。</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1.5.1交货条件：</w:t>
      </w:r>
      <w:r/>
    </w:p>
    <w:p>
      <w:pPr>
        <w:ind w:firstLine="480"/>
        <w:spacing w:line="336" w:lineRule="auto"/>
        <w:tabs>
          <w:tab w:val="left" w:pos="420"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1.5.1.1乙方在验收时应先用信函、传真、电子邮件等书面方式通知甲方。</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1.5.1.3货物交货时，所有货物必须带有装箱单、</w:t>
      </w:r>
      <w:r>
        <w:rPr>
          <w:rFonts w:hint="eastAsia" w:ascii="宋体" w:hAnsi="宋体" w:cs="宋体"/>
          <w:sz w:val="24"/>
          <w:szCs w:val="24"/>
          <w:highlight w:val="white"/>
        </w:rPr>
        <w:t xml:space="preserve">产品质检合格证明、使用说明书及操作手册（电子版、纸质版同时提供），单价10万元以上的设备需提供设备操作、保养的视频资料，若为进口产品，需提供进口商品检验检疫证明和报关单</w:t>
      </w:r>
      <w:r>
        <w:rPr>
          <w:rFonts w:hint="eastAsia" w:ascii="宋体" w:hAnsi="宋体" w:cs="宋体"/>
          <w:bCs/>
          <w:sz w:val="24"/>
          <w:szCs w:val="24"/>
          <w:highlight w:val="white"/>
        </w:rPr>
        <w:t xml:space="preserve">。其他附件所有部件必须原包装。</w:t>
      </w:r>
      <w:r/>
    </w:p>
    <w:p>
      <w:pPr>
        <w:ind w:firstLine="480"/>
        <w:spacing w:line="336" w:lineRule="auto"/>
        <w:tabs>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1.5.1.4运输及到货地点：由乙方负责办理运输并承担所有费用，直接送到甲方指定地点，即：以合同书上的地点为准。</w:t>
      </w:r>
      <w:r/>
    </w:p>
    <w:p>
      <w:pPr>
        <w:ind w:firstLine="480"/>
        <w:spacing w:line="336" w:lineRule="auto"/>
        <w:rPr>
          <w:rFonts w:hint="eastAsia" w:ascii="宋体" w:hAnsi="宋体" w:cs="宋体"/>
          <w:bCs/>
          <w:sz w:val="24"/>
          <w:szCs w:val="24"/>
          <w:highlight w:val="white"/>
        </w:rPr>
      </w:pPr>
      <w:r>
        <w:rPr>
          <w:rFonts w:hint="eastAsia" w:ascii="宋体" w:hAnsi="宋体" w:cs="宋体"/>
          <w:bCs/>
          <w:sz w:val="24"/>
          <w:szCs w:val="24"/>
          <w:highlight w:val="white"/>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1.5.2.2乙方提供的服务全部按照国家有关法律法规规章和“三包”规定以及按照招标文件要求和乙方投标文件中的承诺执行。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1.5.2.3超过</w:t>
      </w:r>
      <w:r>
        <w:rPr>
          <w:rFonts w:hint="eastAsia" w:ascii="宋体" w:hAnsi="宋体" w:cs="宋体"/>
          <w:bCs/>
          <w:sz w:val="24"/>
          <w:szCs w:val="24"/>
          <w:highlight w:val="white"/>
          <w:lang w:val="en-US" w:eastAsia="zh-CN"/>
        </w:rPr>
        <w:t xml:space="preserve">质保</w:t>
      </w:r>
      <w:r>
        <w:rPr>
          <w:rFonts w:hint="eastAsia" w:ascii="宋体" w:hAnsi="宋体" w:cs="宋体"/>
          <w:bCs/>
          <w:sz w:val="24"/>
          <w:szCs w:val="24"/>
          <w:highlight w:val="white"/>
        </w:rPr>
        <w:t xml:space="preserve">期的机器设备，终身维修，维修只收配件费，供方必须以低于市场价的80％优惠提供，具体由双方协商再定。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1.5.2.5甲方如要求乙方提供招标文件及乙方投标文件以外的其他服务，其费用另定。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1.5.2.</w:t>
      </w:r>
      <w:r>
        <w:rPr>
          <w:rFonts w:hint="eastAsia" w:ascii="宋体" w:hAnsi="宋体" w:cs="宋体"/>
          <w:sz w:val="24"/>
          <w:szCs w:val="24"/>
          <w:highlight w:val="white"/>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 包装方式：</w:t>
      </w:r>
      <w:r>
        <w:rPr>
          <w:rFonts w:hint="eastAsia" w:ascii="宋体" w:hAnsi="宋体" w:cs="宋体"/>
          <w:iCs/>
          <w:sz w:val="24"/>
          <w:szCs w:val="24"/>
          <w:highlight w:val="white"/>
          <w:u w:val="single"/>
        </w:rPr>
        <w:t xml:space="preserve">箱板包装。</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二、合同金额</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2.1本合同含税金额为（大写）： _____________圆（______元）人民币。</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三、技术资料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3.1乙方应按招标文件规定的时间向甲方提供使用货物</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包含与货物相关的服务</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的有关技术资料。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四、知识产权</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（注：采购项目如涉及采购标的的知识产权归属、处理的，如订购、设计、定制开发的信息化建设项目等，应当约定知识产权的归属和处理方式）</w:t>
      </w:r>
      <w:r/>
    </w:p>
    <w:p>
      <w:pPr>
        <w:ind w:firstLine="482"/>
        <w:spacing w:line="400" w:lineRule="exact"/>
        <w:rPr>
          <w:rFonts w:hint="eastAsia" w:ascii="宋体" w:hAnsi="宋体" w:cs="宋体"/>
          <w:sz w:val="24"/>
          <w:szCs w:val="24"/>
          <w:highlight w:val="white"/>
          <w:u w:val="single"/>
        </w:rPr>
      </w:pPr>
      <w:r>
        <w:rPr>
          <w:rFonts w:hint="eastAsia" w:ascii="宋体" w:hAnsi="宋体" w:cs="宋体"/>
          <w:b/>
          <w:sz w:val="24"/>
          <w:szCs w:val="24"/>
          <w:highlight w:val="white"/>
        </w:rPr>
        <w:t xml:space="preserve">五、产权担保</w:t>
      </w:r>
      <w:r/>
    </w:p>
    <w:p>
      <w:pPr>
        <w:ind w:firstLine="480"/>
        <w:spacing w:line="400" w:lineRule="exact"/>
        <w:rPr>
          <w:rFonts w:hint="eastAsia" w:ascii="宋体" w:hAnsi="宋体" w:cs="宋体"/>
          <w:sz w:val="24"/>
          <w:szCs w:val="24"/>
          <w:highlight w:val="white"/>
          <w:u w:val="single"/>
        </w:rPr>
      </w:pPr>
      <w:r>
        <w:rPr>
          <w:rFonts w:hint="eastAsia" w:ascii="宋体" w:hAnsi="宋体" w:cs="宋体"/>
          <w:sz w:val="24"/>
          <w:szCs w:val="24"/>
          <w:highlight w:val="white"/>
        </w:rPr>
        <w:t xml:space="preserve">5.1 乙方保证所交付的货物（包含与货物相关的服务）的所有权完全属于乙方且无任何抵押、查封等产权瑕疵。</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六、履约保证金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6.1履约保证金缴纳金额：中标金额的10%。</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6.1.1履约保证金的缴纳时间：供方在合同生效后进行缴纳。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6.1.2缴纳形式：银行保函等非现金形式缴纳。</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6.2履约保证金的退付时间：本项目验收合格后。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6.2.1退付办法：原路退还，或履约保函到期自动失效。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6.2.2履约保证金不予退还的情形：</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①由于供方的原因不能履约的。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②在履行合同期间发生重大安全事故，给需方造成不良影响和严重经济损失的。</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6.2.3逾期退还履约保证金的违约责任：承担履约保证金金额千分之二/天的违约金。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6.2.4乙方向甲方支付赔偿金或违约金的，甲方有权在应付款或履约保证金中直接扣除。</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七、合同转包或分包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7.1乙方不得将合同标的转包给他人履行。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7.3乙方如有转包或未经甲方同意的分包行为，甲方有权给予终止合同。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八、合同款项支付</w:t>
      </w:r>
      <w:r/>
    </w:p>
    <w:p>
      <w:pPr>
        <w:ind w:firstLine="480"/>
        <w:spacing w:line="400" w:lineRule="exact"/>
        <w:rPr>
          <w:rFonts w:hint="eastAsia" w:ascii="宋体" w:hAnsi="宋体" w:cs="宋体"/>
          <w:bCs/>
          <w:sz w:val="24"/>
          <w:szCs w:val="24"/>
          <w:highlight w:val="white"/>
        </w:rPr>
      </w:pPr>
      <w:r>
        <w:rPr>
          <w:rFonts w:hint="eastAsia" w:ascii="宋体" w:hAnsi="宋体" w:cs="宋体"/>
          <w:bCs/>
          <w:sz w:val="24"/>
          <w:szCs w:val="24"/>
          <w:highlight w:val="white"/>
        </w:rPr>
        <w:t xml:space="preserve">8.1合同款项的支付方式及进度安排</w:t>
      </w:r>
      <w:r/>
    </w:p>
    <w:p>
      <w:pPr>
        <w:ind w:firstLine="480"/>
        <w:spacing w:line="400" w:lineRule="exact"/>
        <w:rPr>
          <w:rFonts w:hint="eastAsia" w:ascii="宋体" w:hAnsi="宋体" w:eastAsia="宋体" w:cs="宋体"/>
          <w:color w:val="ff0000"/>
          <w:sz w:val="24"/>
          <w:szCs w:val="24"/>
        </w:rPr>
      </w:pPr>
      <w:r>
        <w:rPr>
          <w:rFonts w:hint="eastAsia" w:ascii="宋体" w:hAnsi="宋体" w:eastAsia="宋体" w:cs="宋体"/>
          <w:sz w:val="24"/>
          <w:szCs w:val="24"/>
        </w:rPr>
        <w:t xml:space="preserve">合同签订生效后预支付合同总金额的</w:t>
      </w:r>
      <w:r>
        <w:rPr>
          <w:rFonts w:hint="eastAsia" w:ascii="宋体" w:hAnsi="宋体" w:eastAsia="宋体" w:cs="宋体"/>
          <w:sz w:val="24"/>
          <w:szCs w:val="24"/>
          <w:u w:val="single"/>
        </w:rPr>
        <w:t xml:space="preserve">  30  </w:t>
      </w:r>
      <w:r>
        <w:rPr>
          <w:rFonts w:hint="eastAsia" w:ascii="宋体" w:hAnsi="宋体" w:eastAsia="宋体" w:cs="宋体"/>
          <w:sz w:val="24"/>
          <w:szCs w:val="24"/>
        </w:rPr>
        <w:t xml:space="preserve">%，货到现场安装、调试、培训、验收合格后支付合同总金额的 </w:t>
      </w:r>
      <w:r>
        <w:rPr>
          <w:rFonts w:hint="eastAsia" w:ascii="宋体" w:hAnsi="宋体" w:eastAsia="宋体" w:cs="宋体"/>
          <w:sz w:val="24"/>
          <w:szCs w:val="24"/>
          <w:u w:val="single"/>
        </w:rPr>
        <w:t xml:space="preserve"> 60 </w:t>
      </w:r>
      <w:r>
        <w:rPr>
          <w:rFonts w:hint="eastAsia" w:ascii="宋体" w:hAnsi="宋体" w:eastAsia="宋体" w:cs="宋体"/>
          <w:sz w:val="24"/>
          <w:szCs w:val="24"/>
        </w:rPr>
        <w:t xml:space="preserve">%，验收合格</w:t>
      </w:r>
      <w:r>
        <w:rPr>
          <w:rFonts w:hint="eastAsia" w:ascii="宋体" w:hAnsi="宋体" w:eastAsia="宋体" w:cs="宋体"/>
          <w:sz w:val="24"/>
          <w:szCs w:val="24"/>
          <w:u w:val="single"/>
        </w:rPr>
        <w:t xml:space="preserve"> 1 </w:t>
      </w:r>
      <w:r>
        <w:rPr>
          <w:rFonts w:hint="eastAsia" w:ascii="宋体" w:hAnsi="宋体" w:eastAsia="宋体" w:cs="宋体"/>
          <w:sz w:val="24"/>
          <w:szCs w:val="24"/>
        </w:rPr>
        <w:t xml:space="preserve">年后支付</w:t>
      </w:r>
      <w:r>
        <w:rPr>
          <w:rFonts w:hint="eastAsia" w:ascii="宋体" w:hAnsi="宋体" w:eastAsia="宋体" w:cs="宋体"/>
          <w:sz w:val="24"/>
          <w:szCs w:val="24"/>
          <w:u w:val="single"/>
        </w:rPr>
        <w:t xml:space="preserve"> 10 </w:t>
      </w:r>
      <w:r>
        <w:rPr>
          <w:rFonts w:hint="eastAsia" w:ascii="宋体" w:hAnsi="宋体" w:eastAsia="宋体" w:cs="宋体"/>
          <w:sz w:val="24"/>
          <w:szCs w:val="24"/>
        </w:rPr>
        <w:t xml:space="preserve"> %余款。（如果制造商为中小企业，按《保障中小企业款项支付条例》(国令第 802号)相关要求执行。）</w:t>
      </w:r>
      <w:r/>
    </w:p>
    <w:p>
      <w:pPr>
        <w:ind w:firstLine="480"/>
        <w:spacing w:line="400" w:lineRule="exact"/>
        <w:rPr>
          <w:rFonts w:hint="eastAsia" w:ascii="宋体" w:hAnsi="宋体" w:cs="宋体"/>
          <w:sz w:val="24"/>
          <w:szCs w:val="24"/>
          <w:highlight w:val="white"/>
        </w:rPr>
      </w:pPr>
      <w:r>
        <w:rPr>
          <w:rFonts w:hint="eastAsia" w:ascii="宋体" w:hAnsi="宋体" w:cs="宋体"/>
          <w:bCs/>
          <w:sz w:val="24"/>
          <w:szCs w:val="24"/>
          <w:highlight w:val="white"/>
        </w:rPr>
        <w:t xml:space="preserve">8.2</w:t>
      </w:r>
      <w:r>
        <w:rPr>
          <w:rFonts w:hint="eastAsia" w:ascii="宋体" w:hAnsi="宋体" w:cs="宋体"/>
          <w:sz w:val="24"/>
          <w:szCs w:val="24"/>
          <w:highlight w:val="white"/>
        </w:rPr>
        <w:t xml:space="preserve">当采购数量与实际使用数量不一致时，乙方应根据实际使用量供货，合同的最终结算金额按实际使用量乘以成交单价进行计算。</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8.3乙方应在甲方付款前向甲方交付符合要求的发票，乙方逾期交付发票的，甲方有权延迟付款。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九、税费</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9.1本合同执行中相关的一切税费均由乙方负担。</w:t>
      </w:r>
      <w:r/>
    </w:p>
    <w:p>
      <w:pPr>
        <w:ind w:firstLine="482"/>
        <w:spacing w:line="400" w:lineRule="exact"/>
        <w:rPr>
          <w:rFonts w:hint="eastAsia" w:ascii="宋体" w:hAnsi="宋体" w:cs="宋体"/>
          <w:sz w:val="24"/>
          <w:szCs w:val="24"/>
          <w:highlight w:val="white"/>
        </w:rPr>
      </w:pPr>
      <w:r>
        <w:rPr>
          <w:rFonts w:hint="eastAsia" w:ascii="宋体" w:hAnsi="宋体" w:cs="宋体"/>
          <w:b/>
          <w:sz w:val="24"/>
          <w:szCs w:val="24"/>
          <w:highlight w:val="white"/>
        </w:rPr>
        <w:t xml:space="preserve">十、质量保修范围和</w:t>
      </w:r>
      <w:r>
        <w:rPr>
          <w:rFonts w:hint="eastAsia" w:ascii="宋体" w:hAnsi="宋体" w:cs="宋体"/>
          <w:b/>
          <w:sz w:val="24"/>
          <w:szCs w:val="24"/>
          <w:highlight w:val="white"/>
          <w:lang w:val="en-US" w:eastAsia="zh-CN"/>
        </w:rPr>
        <w:t xml:space="preserve">质保</w:t>
      </w:r>
      <w:r>
        <w:rPr>
          <w:rFonts w:hint="eastAsia" w:ascii="宋体" w:hAnsi="宋体" w:cs="宋体"/>
          <w:b/>
          <w:sz w:val="24"/>
          <w:szCs w:val="24"/>
          <w:highlight w:val="white"/>
        </w:rPr>
        <w:t xml:space="preserve">期及售后服务</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10.1乙方应按招标文件规定的货物性能、技术要求、质量标准向甲方提供未经使用的全新产品。</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10.2乙方提供的货物在质量期内因货物本身的质量问题发生故障，乙方应负责免费更换。对达不到技术要求者，根据实际情况，经双方协商，可按以下办法处理：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⑴更换：由乙方承担所发生的全部费用。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⑵贬值处理：由甲乙双方合议定价。</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⑶退货处理：乙方应退还甲方支付的合同款，同时应承担该货物的直接费用（运输、保险、检验、货款利息及银行手续费等）。</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10.3如在使用过程中发生质量问题</w:t>
      </w:r>
      <w:r>
        <w:rPr>
          <w:rFonts w:hint="eastAsia" w:ascii="宋体" w:hAnsi="宋体" w:cs="宋体"/>
          <w:sz w:val="24"/>
          <w:szCs w:val="24"/>
          <w:highlight w:val="white"/>
          <w:lang w:val="en-US" w:eastAsia="zh-CN"/>
        </w:rPr>
        <w:t xml:space="preserve">或故障</w:t>
      </w:r>
      <w:r>
        <w:rPr>
          <w:rFonts w:hint="eastAsia" w:ascii="宋体" w:hAnsi="宋体" w:cs="宋体"/>
          <w:sz w:val="24"/>
          <w:szCs w:val="24"/>
          <w:highlight w:val="white"/>
        </w:rPr>
        <w:t xml:space="preserve">，乙方在接到甲方通知后在_________小时内到达甲方现场。</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10.4在质保期内，乙方应对货物出现的质量及安全问题负责处理解决并承担一切费用。</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10.5上述的货物免费</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期为</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年（自交货验收合格之日起计），因人为因素出现的故障不在免费保修范围内。超过</w:t>
      </w:r>
      <w:r>
        <w:rPr>
          <w:rFonts w:hint="eastAsia" w:ascii="宋体" w:hAnsi="宋体" w:cs="宋体"/>
          <w:sz w:val="24"/>
          <w:szCs w:val="24"/>
          <w:highlight w:val="white"/>
          <w:lang w:val="en-US" w:eastAsia="zh-CN"/>
        </w:rPr>
        <w:t xml:space="preserve">质保</w:t>
      </w:r>
      <w:r>
        <w:rPr>
          <w:rFonts w:hint="eastAsia" w:ascii="宋体" w:hAnsi="宋体" w:cs="宋体"/>
          <w:sz w:val="24"/>
          <w:szCs w:val="24"/>
          <w:highlight w:val="white"/>
        </w:rPr>
        <w:t xml:space="preserve">期的机器设备，终身维修，维修只收配件费，供方必须以低于市场价的80％优惠提供，具体</w:t>
      </w:r>
      <w:r>
        <w:rPr>
          <w:rFonts w:hint="eastAsia" w:ascii="宋体" w:hAnsi="宋体" w:cs="宋体"/>
          <w:bCs/>
          <w:sz w:val="24"/>
          <w:szCs w:val="24"/>
          <w:highlight w:val="white"/>
        </w:rPr>
        <w:t xml:space="preserve">由双方协商再定。</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十一、项目验收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11.1甲方依法组织履约验收工作。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11.3对于实际使用人和甲方分离的项目，甲方邀请实际使用人参与验收。</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11.5甲方成立验收小组，按照采购合同的约定对乙方的履约情况进行验收。验收时间、验收标准见招标文件验收内容，</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w:t>
      </w:r>
      <w:r>
        <w:rPr>
          <w:rFonts w:hint="eastAsia" w:ascii="宋体" w:hAnsi="宋体"/>
          <w:bCs/>
          <w:sz w:val="24"/>
          <w:szCs w:val="24"/>
          <w:highlight w:val="white"/>
        </w:rPr>
        <w:t xml:space="preserve">过一年，国产产品不超过半年（以铭牌或说明书确认）</w:t>
      </w:r>
      <w:r>
        <w:rPr>
          <w:rFonts w:hint="eastAsia" w:ascii="宋体" w:hAnsi="宋体" w:cs="宋体"/>
          <w:sz w:val="24"/>
          <w:szCs w:val="24"/>
          <w:highlight w:val="white"/>
        </w:rPr>
        <w:t xml:space="preserve">。验收时</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甲方按照采购合同的约定对每一项技术、商务要求的履约情况进行确认。验收结束后</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验收小组出具验收书</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列明各项标准的验收情况及项目总体评价</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11.6 验收合格的项目</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甲方将及时报告本级财政部门。</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十二、货物的包装、发运及运输</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12.2使用说明书、质量检验证明书、随配附件和工具以及清单一并附于货物内。</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12.3乙方在货物发运手续办理完毕后24小时内或货到甲方48小时前通知甲方，以准备接货。</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12.4货物在</w:t>
      </w:r>
      <w:r>
        <w:rPr>
          <w:rFonts w:hint="eastAsia" w:ascii="宋体" w:hAnsi="宋体" w:cs="宋体"/>
          <w:sz w:val="24"/>
          <w:szCs w:val="24"/>
          <w:highlight w:val="white"/>
          <w:lang w:val="en-US" w:eastAsia="zh-CN"/>
        </w:rPr>
        <w:t xml:space="preserve">验收合格</w:t>
      </w:r>
      <w:r>
        <w:rPr>
          <w:rFonts w:hint="eastAsia" w:ascii="宋体" w:hAnsi="宋体" w:cs="宋体"/>
          <w:sz w:val="24"/>
          <w:szCs w:val="24"/>
          <w:highlight w:val="white"/>
        </w:rPr>
        <w:t xml:space="preserve">前发生的风险均由乙方负责。</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12.5货物在规定的交付期限内由乙方送达甲方指定的地点视为交付，乙方同时需通知甲方货物已送达。</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十三、违约责任</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13.1甲方无正当理由拒收货物的，甲方向乙方偿付拒收货款总值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13.2甲方无故逾期验收和办理货款支付手续的</w:t>
      </w:r>
      <w:r>
        <w:rPr>
          <w:rFonts w:hint="eastAsia" w:ascii="宋体" w:hAnsi="宋体" w:cs="宋体"/>
          <w:sz w:val="24"/>
          <w:szCs w:val="24"/>
          <w:highlight w:val="white"/>
          <w:lang w:eastAsia="zh-CN"/>
        </w:rPr>
        <w:t xml:space="preserve">，</w:t>
      </w:r>
      <w:r>
        <w:rPr>
          <w:rFonts w:hint="eastAsia" w:ascii="宋体" w:hAnsi="宋体" w:cs="宋体"/>
          <w:sz w:val="24"/>
          <w:szCs w:val="24"/>
          <w:highlight w:val="white"/>
        </w:rPr>
        <w:t xml:space="preserve">甲方应按逾期付款总额每日</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向乙方支付违约金。</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13.3乙方逾期交付货物或逾期完成安装调试的，乙方应按逾期货物总额每日千分之六向甲方支付违约金，由甲方从待付货款中扣除。逾期超过约定日期10个工作日不能交货或完成安装调试的，甲方可解除本合同。乙方因逾期交货或因其他违约行为导致甲方解除合同的，乙方应向甲方支付合同总值</w:t>
      </w:r>
      <w:r>
        <w:rPr>
          <w:rFonts w:hint="eastAsia" w:ascii="宋体" w:hAnsi="宋体" w:cs="宋体"/>
          <w:sz w:val="24"/>
          <w:szCs w:val="24"/>
          <w:highlight w:val="white"/>
          <w:u w:val="single"/>
        </w:rPr>
        <w:t xml:space="preserve">    </w:t>
      </w:r>
      <w:r>
        <w:rPr>
          <w:rFonts w:hint="eastAsia" w:ascii="宋体" w:hAnsi="宋体" w:cs="宋体"/>
          <w:sz w:val="24"/>
          <w:szCs w:val="24"/>
          <w:highlight w:val="white"/>
        </w:rPr>
        <w:t xml:space="preserve">的违约金，如造成甲方损失超过违约金的，超出部分由乙方继续承担赔偿责任。 </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13.4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十四、不可抗力事件处理</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14.1在合同有效期内，任何一方因不可抗力事件导致不能履行合同，则合同履行期可延长，其延长期与不可抗力影响期相同。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14.2不可抗力事件发生后，应立即通知对方，并寄送有关权威机构出具的证明。</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14.3不可抗力事件延续120天以上，双方应通过友好协商，确定是否继续履行合同。</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十五、解决争议的方法</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15.1甲乙双方因合同签订、履行而发生的一切争议，应通过友好协商解决。如协商不成由甲方住所地人民法院管辖。</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十六、合同生效及其他</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16.1 合同经双方法定代表人或授权委托代表人签字并加盖单位公章后生效。</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16.2本合同未尽事宜，遵照《中华人民共和国民法典》《中华人民共和国政府采购法》有关条文执行。</w:t>
      </w:r>
      <w:r/>
    </w:p>
    <w:p>
      <w:pPr>
        <w:ind w:firstLine="48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16.3 本合同正本一式四份，具有同等法律效力，甲方三份、乙方一份。</w:t>
      </w:r>
      <w:r/>
    </w:p>
    <w:p>
      <w:pPr>
        <w:ind w:firstLine="482"/>
        <w:spacing w:line="400" w:lineRule="exact"/>
        <w:rPr>
          <w:rFonts w:hint="eastAsia" w:ascii="宋体" w:hAnsi="宋体" w:cs="宋体"/>
          <w:b/>
          <w:sz w:val="24"/>
          <w:szCs w:val="24"/>
          <w:highlight w:val="white"/>
        </w:rPr>
      </w:pPr>
      <w:r>
        <w:rPr>
          <w:rFonts w:hint="eastAsia" w:ascii="宋体" w:hAnsi="宋体" w:cs="宋体"/>
          <w:b/>
          <w:sz w:val="24"/>
          <w:szCs w:val="24"/>
          <w:highlight w:val="white"/>
        </w:rPr>
        <w:t xml:space="preserve">十七、合同附件（注：可按需添加附件）</w:t>
      </w:r>
      <w:r/>
    </w:p>
    <w:p>
      <w:pPr>
        <w:spacing w:line="440" w:lineRule="exact"/>
        <w:tabs>
          <w:tab w:val="left" w:pos="945" w:leader="none"/>
          <w:tab w:val="left" w:pos="1155" w:leader="none"/>
        </w:tabs>
        <w:rPr>
          <w:rFonts w:hint="eastAsia" w:ascii="宋体" w:hAnsi="宋体" w:cs="宋体"/>
          <w:bCs/>
          <w:sz w:val="24"/>
          <w:szCs w:val="24"/>
          <w:highlight w:val="white"/>
        </w:rPr>
      </w:pPr>
      <w:r>
        <w:rPr>
          <w:rFonts w:hint="eastAsia" w:ascii="宋体" w:hAnsi="宋体" w:cs="宋体"/>
          <w:bCs/>
          <w:sz w:val="24"/>
          <w:szCs w:val="24"/>
          <w:highlight w:val="white"/>
        </w:rPr>
        <w:t xml:space="preserve"> </w:t>
      </w:r>
      <w:r/>
    </w:p>
    <w:p>
      <w:pPr>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ind w:left="480" w:hanging="480"/>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甲方：江南大学附属医院                  乙方：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地址：无锡市滨湖区和风路 1000 号        地址： </w:t>
      </w:r>
      <w:r/>
    </w:p>
    <w:p>
      <w:pPr>
        <w:spacing w:line="480" w:lineRule="auto"/>
        <w:rPr>
          <w:rFonts w:hint="eastAsia" w:ascii="宋体" w:hAnsi="宋体" w:cs="宋体"/>
          <w:sz w:val="24"/>
          <w:szCs w:val="24"/>
          <w:highlight w:val="white"/>
        </w:rPr>
      </w:pPr>
      <w:r>
        <w:rPr>
          <w:rFonts w:hint="eastAsia" w:ascii="宋体" w:hAnsi="宋体" w:cs="宋体"/>
          <w:sz w:val="24"/>
          <w:szCs w:val="24"/>
          <w:highlight w:val="white"/>
        </w:rPr>
        <w:t xml:space="preserve">  法定代表人或授权代表：                  法定代表人或授权代表：</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                       </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t xml:space="preserve">2025年    月   日                       2025年    月   日</w:t>
      </w:r>
      <w:r/>
    </w:p>
    <w:p>
      <w:pPr>
        <w:ind w:firstLine="240"/>
        <w:spacing w:line="400" w:lineRule="exact"/>
        <w:rPr>
          <w:rFonts w:hint="eastAsia" w:ascii="宋体" w:hAnsi="宋体" w:cs="宋体"/>
          <w:sz w:val="24"/>
          <w:szCs w:val="24"/>
          <w:highlight w:val="white"/>
        </w:rPr>
      </w:pPr>
      <w:r>
        <w:rPr>
          <w:rFonts w:hint="eastAsia" w:ascii="宋体" w:hAnsi="宋体" w:cs="宋体"/>
          <w:sz w:val="24"/>
          <w:szCs w:val="24"/>
          <w:highlight w:val="white"/>
        </w:rPr>
      </w:r>
      <w:r/>
    </w:p>
    <w:p>
      <w:pPr>
        <w:jc w:val="center"/>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乙方户名：</w:t>
      </w:r>
      <w:r/>
    </w:p>
    <w:p>
      <w:pPr>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                                      乙方开户银行：</w:t>
      </w:r>
      <w:r/>
    </w:p>
    <w:p>
      <w:pPr>
        <w:ind w:firstLine="40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        乙方账号：</w:t>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4080"/>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spacing w:line="360" w:lineRule="auto"/>
        <w:rPr>
          <w:rFonts w:ascii="黑体" w:eastAsia="黑体"/>
          <w:bCs/>
          <w:color w:val="000000" w:themeColor="text1"/>
          <w:sz w:val="36"/>
          <w:szCs w:val="36"/>
          <w:highlight w:val="white"/>
          <w14:textFill>
            <w14:solidFill>
              <w14:schemeClr w14:val="tx1"/>
            </w14:solidFill>
          </w14:textFill>
        </w:rPr>
      </w:pPr>
      <w:r>
        <w:rPr>
          <w:rFonts w:ascii="黑体" w:eastAsia="黑体"/>
          <w:bCs/>
          <w:color w:val="000000" w:themeColor="text1"/>
          <w:sz w:val="36"/>
          <w:szCs w:val="36"/>
          <w:highlight w:val="white"/>
          <w14:textFill>
            <w14:solidFill>
              <w14:schemeClr w14:val="tx1"/>
            </w14:solidFill>
          </w14:textFill>
        </w:rPr>
      </w:r>
      <w:r/>
    </w:p>
    <w:p>
      <w:pPr>
        <w:ind w:firstLine="720"/>
        <w:jc w:val="center"/>
        <w:spacing w:line="288" w:lineRule="auto"/>
        <w:rPr>
          <w:rFonts w:hint="eastAsia" w:hAnsi="宋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bookmarkStart w:id="187" w:name="_Toc26554093"/>
      <w:r/>
      <w:bookmarkStart w:id="188" w:name="_Toc49090575"/>
      <w:r>
        <w:rPr>
          <w:rFonts w:hint="eastAsia" w:ascii="黑体" w:hAnsi="黑体" w:eastAsia="黑体"/>
          <w:color w:val="000000" w:themeColor="text1"/>
          <w:sz w:val="30"/>
          <w:szCs w:val="30"/>
          <w:highlight w:val="whit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本项目中的</w:t>
      </w:r>
      <w:r>
        <w:rPr>
          <w:rFonts w:hint="eastAsia" w:ascii="宋体" w:hAnsi="宋体"/>
          <w:color w:val="000000" w:themeColor="text1"/>
          <w:sz w:val="24"/>
          <w:szCs w:val="24"/>
          <w:highlight w:val="white"/>
          <w:lang w:val="en-US" w:eastAsia="zh-CN"/>
          <w14:textFill>
            <w14:solidFill>
              <w14:schemeClr w14:val="tx1"/>
            </w14:solidFill>
          </w14:textFill>
        </w:rPr>
        <w:t xml:space="preserve">激光共聚焦显微镜</w:t>
      </w:r>
      <w:r>
        <w:rPr>
          <w:rFonts w:hint="eastAsia" w:ascii="宋体" w:hAnsi="宋体"/>
          <w:color w:val="000000" w:themeColor="text1"/>
          <w:sz w:val="24"/>
          <w:szCs w:val="24"/>
          <w:highlight w:val="whit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white"/>
          <w14:textFill>
            <w14:solidFill>
              <w14:schemeClr w14:val="tx1"/>
            </w14:solidFill>
          </w14:textFill>
        </w:rPr>
      </w:pPr>
      <w:r>
        <w:rPr>
          <w:rFonts w:hint="eastAsia" w:ascii="黑体" w:hAnsi="黑体" w:eastAsia="黑体"/>
          <w:color w:val="000000" w:themeColor="text1"/>
          <w:sz w:val="30"/>
          <w:szCs w:val="30"/>
          <w:highlight w:val="whit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宋体" w:hAnsi="宋体"/>
          <w:b/>
          <w:bCs/>
          <w:color w:val="000000" w:themeColor="text1"/>
          <w:sz w:val="24"/>
          <w:szCs w:val="24"/>
          <w:highlight w:val="whit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white"/>
          <w:u w:val="single"/>
          <w14:textFill>
            <w14:solidFill>
              <w14:schemeClr w14:val="tx1"/>
            </w14:solidFill>
          </w14:textFill>
        </w:rPr>
        <w:t xml:space="preserve">。并如实地在《投标偏离表》中按招标文件“采购需求”中“项目配置”“技术参数”“商务需求”内容逐条标明满足与否，并对其真实性负责。技术条款</w:t>
      </w:r>
      <w:r>
        <w:rPr>
          <w:rFonts w:hint="eastAsia" w:ascii="宋体" w:hAnsi="宋体"/>
          <w:b/>
          <w:bCs/>
          <w:color w:val="000000" w:themeColor="text1"/>
          <w:sz w:val="24"/>
          <w:szCs w:val="24"/>
          <w:highlight w:val="white"/>
          <w:u w:val="single"/>
          <w14:textFill>
            <w14:solidFill>
              <w14:schemeClr w14:val="tx1"/>
            </w14:solidFill>
          </w14:textFill>
        </w:rPr>
        <w:t xml:space="preserve">必须</w:t>
      </w:r>
      <w:r>
        <w:rPr>
          <w:rFonts w:hint="eastAsia" w:ascii="宋体" w:hAnsi="宋体"/>
          <w:color w:val="000000" w:themeColor="text1"/>
          <w:sz w:val="24"/>
          <w:szCs w:val="24"/>
          <w:highlight w:val="white"/>
          <w:u w:val="single"/>
          <w14:textFill>
            <w14:solidFill>
              <w14:schemeClr w14:val="tx1"/>
            </w14:solidFill>
          </w14:textFill>
        </w:rPr>
        <w:t xml:space="preserve">在投标文件中提供技术支持资料（如产品说明书、彩页、相关检测报告、医疗器械产品技术要求、白皮书、手册、实物照片</w:t>
      </w:r>
      <w:r>
        <w:rPr>
          <w:rFonts w:hint="eastAsia" w:ascii="宋体" w:hAnsi="宋体" w:eastAsia="宋体" w:cs="Times New Roman"/>
          <w:color w:val="000000" w:themeColor="text1"/>
          <w:sz w:val="24"/>
          <w:szCs w:val="24"/>
          <w:highlight w:val="white"/>
          <w:u w:val="single"/>
          <w14:textFill>
            <w14:solidFill>
              <w14:schemeClr w14:val="tx1"/>
            </w14:solidFill>
          </w14:textFill>
        </w:rPr>
        <w:t xml:space="preserve">（须体现所投产品品牌型号）</w:t>
      </w:r>
      <w:r>
        <w:rPr>
          <w:rFonts w:hint="eastAsia" w:ascii="宋体" w:hAnsi="宋体"/>
          <w:color w:val="000000" w:themeColor="text1"/>
          <w:sz w:val="24"/>
          <w:szCs w:val="24"/>
          <w:highlight w:val="white"/>
          <w:u w:val="single"/>
          <w14:textFill>
            <w14:solidFill>
              <w14:schemeClr w14:val="tx1"/>
            </w14:solidFill>
          </w14:textFill>
        </w:rPr>
        <w:t xml:space="preserve">等），未提供技术支持资料或提供的技术支持资料不能佐证偏离表内容的，评审时不予认可。</w:t>
      </w:r>
      <w:r/>
    </w:p>
    <w:p>
      <w:pPr>
        <w:ind w:firstLine="602"/>
        <w:spacing w:line="360" w:lineRule="auto"/>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eastAsia" w:ascii="宋体" w:hAnsi="宋体" w:cs="宋体"/>
          <w:color w:val="000000" w:themeColor="text1"/>
          <w:sz w:val="24"/>
          <w:szCs w:val="24"/>
          <w:highlight w:val="white"/>
          <w:u w:val="singl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t xml:space="preserve">一、项目配置：</w:t>
      </w:r>
      <w:r/>
    </w:p>
    <w:tbl>
      <w:tblPr>
        <w:tblStyle w:val="7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9"/>
        <w:gridCol w:w="4222"/>
        <w:gridCol w:w="1353"/>
        <w:gridCol w:w="1194"/>
      </w:tblGrid>
      <w:tr>
        <w:trPr>
          <w:jc w:val="center"/>
          <w:trHeight w:val="654"/>
        </w:trPr>
        <w:tc>
          <w:tcPr>
            <w:tcW w:w="1269"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序号</w:t>
            </w:r>
            <w:r/>
          </w:p>
        </w:tc>
        <w:tc>
          <w:tcPr>
            <w:tcW w:w="4222"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名称</w:t>
            </w:r>
            <w:r/>
          </w:p>
        </w:tc>
        <w:tc>
          <w:tcPr>
            <w:tcW w:w="1353"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单位</w:t>
            </w:r>
            <w:r/>
          </w:p>
        </w:tc>
        <w:tc>
          <w:tcPr>
            <w:tcW w:w="1194"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数量</w:t>
            </w:r>
            <w:r/>
          </w:p>
        </w:tc>
      </w:tr>
      <w:tr>
        <w:trPr>
          <w:jc w:val="center"/>
          <w:trHeight w:val="327"/>
        </w:trPr>
        <w:tc>
          <w:tcPr>
            <w:tcW w:w="1269"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hint="eastAsia" w:ascii="宋体" w:hAnsi="宋体" w:cstheme="minorEastAsia"/>
                <w:color w:val="auto"/>
                <w:sz w:val="24"/>
                <w:szCs w:val="24"/>
              </w:rPr>
              <w:t xml:space="preserve">1</w:t>
            </w:r>
            <w:r/>
          </w:p>
        </w:tc>
        <w:tc>
          <w:tcPr>
            <w:tcW w:w="422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激光共聚焦扫描头</w:t>
            </w:r>
            <w:r/>
          </w:p>
        </w:tc>
        <w:tc>
          <w:tcPr>
            <w:tcW w:w="13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套</w:t>
            </w:r>
            <w:r/>
          </w:p>
        </w:tc>
        <w:tc>
          <w:tcPr>
            <w:tcW w:w="11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eastAsia="zh-CN"/>
              </w:rPr>
            </w:pPr>
            <w:r>
              <w:rPr>
                <w:rFonts w:hint="eastAsia" w:ascii="宋体" w:hAnsi="宋体" w:cstheme="minorEastAsia"/>
                <w:color w:val="auto"/>
                <w:sz w:val="24"/>
                <w:szCs w:val="24"/>
                <w:lang w:val="en-US" w:eastAsia="zh-CN"/>
              </w:rPr>
              <w:t xml:space="preserve">1</w:t>
            </w:r>
            <w:r/>
          </w:p>
        </w:tc>
      </w:tr>
      <w:tr>
        <w:trPr>
          <w:jc w:val="center"/>
          <w:trHeight w:val="327"/>
        </w:trPr>
        <w:tc>
          <w:tcPr>
            <w:tcW w:w="126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2</w:t>
            </w:r>
            <w:r/>
          </w:p>
        </w:tc>
        <w:tc>
          <w:tcPr>
            <w:tcW w:w="422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四色</w:t>
            </w:r>
            <w:r>
              <w:rPr>
                <w:rFonts w:hint="eastAsia" w:ascii="宋体" w:hAnsi="宋体" w:eastAsia="宋体" w:cs="Times New Roman"/>
                <w:color w:val="auto"/>
                <w:sz w:val="24"/>
                <w:szCs w:val="24"/>
                <w:lang w:eastAsia="zh-CN"/>
              </w:rPr>
              <w:t xml:space="preserve">固体</w:t>
            </w:r>
            <w:r>
              <w:rPr>
                <w:rFonts w:hint="eastAsia" w:ascii="宋体" w:hAnsi="宋体" w:cs="宋体"/>
                <w:color w:val="auto"/>
                <w:sz w:val="24"/>
                <w:szCs w:val="24"/>
                <w:lang w:val="en-US" w:eastAsia="zh-CN"/>
              </w:rPr>
              <w:t xml:space="preserve">激光器</w:t>
            </w:r>
            <w:r/>
          </w:p>
        </w:tc>
        <w:tc>
          <w:tcPr>
            <w:tcW w:w="1353"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tcW w:w="1194"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403"/>
        </w:trPr>
        <w:tc>
          <w:tcPr>
            <w:tcW w:w="1269" w:type="dxa"/>
            <w:vAlign w:val="center"/>
            <w:textDirection w:val="lrTb"/>
            <w:noWrap w:val="false"/>
          </w:tcPr>
          <w:p>
            <w:pPr>
              <w:jc w:val="center"/>
              <w:keepLines w:val="0"/>
              <w:keepNext w:val="0"/>
              <w:pageBreakBefore w:val="0"/>
              <w:spacing w:line="240" w:lineRule="auto"/>
              <w:widowControl w:val="off"/>
              <w:rPr>
                <w:rFonts w:ascii="宋体" w:hAnsi="宋体" w:cstheme="minorEastAsia"/>
                <w:color w:val="auto"/>
                <w:sz w:val="24"/>
                <w:szCs w:val="24"/>
              </w:rPr>
            </w:pPr>
            <w:r>
              <w:rPr>
                <w:rFonts w:ascii="宋体" w:hAnsi="宋体" w:cstheme="minorEastAsia"/>
                <w:color w:val="auto"/>
                <w:sz w:val="24"/>
                <w:szCs w:val="24"/>
              </w:rPr>
              <w:t xml:space="preserve">3</w:t>
            </w:r>
            <w:r/>
          </w:p>
        </w:tc>
        <w:tc>
          <w:tcPr>
            <w:tcW w:w="422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高灵敏度荧光探测器以及透射探测器</w:t>
            </w:r>
            <w:r/>
          </w:p>
        </w:tc>
        <w:tc>
          <w:tcPr>
            <w:shd w:val="clear" w:color="auto" w:fill="auto"/>
            <w:tcW w:w="1353"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1194"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327"/>
        </w:trPr>
        <w:tc>
          <w:tcPr>
            <w:tcW w:w="126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heme="minorEastAsia"/>
                <w:color w:val="auto"/>
                <w:sz w:val="24"/>
                <w:szCs w:val="24"/>
                <w:lang w:val="en-US" w:eastAsia="zh-CN"/>
              </w:rPr>
            </w:pPr>
            <w:r>
              <w:rPr>
                <w:rFonts w:hint="eastAsia" w:ascii="宋体" w:hAnsi="宋体" w:cstheme="minorEastAsia"/>
                <w:color w:val="auto"/>
                <w:sz w:val="24"/>
                <w:szCs w:val="24"/>
                <w:lang w:val="en-US" w:eastAsia="zh-CN"/>
              </w:rPr>
              <w:t xml:space="preserve">4</w:t>
            </w:r>
            <w:r/>
          </w:p>
        </w:tc>
        <w:tc>
          <w:tcPr>
            <w:tcW w:w="422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超高分辨率模块</w:t>
            </w:r>
            <w:r/>
          </w:p>
        </w:tc>
        <w:tc>
          <w:tcPr>
            <w:shd w:val="clear" w:color="auto" w:fill="auto"/>
            <w:tcW w:w="1353"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1194"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327"/>
        </w:trPr>
        <w:tc>
          <w:tcPr>
            <w:tcW w:w="1269"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5</w:t>
            </w:r>
            <w:r/>
          </w:p>
        </w:tc>
        <w:tc>
          <w:tcPr>
            <w:tcW w:w="4222"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全电动倒置荧光显微镜</w:t>
            </w:r>
            <w:r/>
          </w:p>
        </w:tc>
        <w:tc>
          <w:tcPr>
            <w:shd w:val="clear" w:color="auto" w:fill="auto"/>
            <w:tcW w:w="13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套</w:t>
            </w:r>
            <w:r/>
          </w:p>
        </w:tc>
        <w:tc>
          <w:tcPr>
            <w:shd w:val="clear" w:color="auto" w:fill="auto"/>
            <w:tcW w:w="11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Height w:val="1046"/>
        </w:trPr>
        <w:tc>
          <w:tcPr>
            <w:tcW w:w="1269"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6</w:t>
            </w:r>
            <w:r/>
          </w:p>
        </w:tc>
        <w:tc>
          <w:tcPr>
            <w:tcW w:w="4222"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平场复消色差共聚焦专用物镜（含10倍、20倍、40倍、60或63倍、100倍各1个）</w:t>
            </w:r>
            <w:r/>
          </w:p>
        </w:tc>
        <w:tc>
          <w:tcPr>
            <w:shd w:val="clear" w:color="auto" w:fill="auto"/>
            <w:tcW w:w="1353"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1194"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327"/>
        </w:trPr>
        <w:tc>
          <w:tcPr>
            <w:tcW w:w="1269"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7</w:t>
            </w:r>
            <w:r/>
          </w:p>
        </w:tc>
        <w:tc>
          <w:tcPr>
            <w:tcW w:w="4222"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共聚焦专用软件</w:t>
            </w:r>
            <w:r/>
          </w:p>
        </w:tc>
        <w:tc>
          <w:tcPr>
            <w:shd w:val="clear" w:color="auto" w:fill="auto"/>
            <w:tcW w:w="135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套</w:t>
            </w:r>
            <w:r/>
          </w:p>
        </w:tc>
        <w:tc>
          <w:tcPr>
            <w:shd w:val="clear" w:color="auto" w:fill="auto"/>
            <w:tcW w:w="1194"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rPr>
              <w:t xml:space="preserve">1</w:t>
            </w:r>
            <w:r/>
          </w:p>
        </w:tc>
      </w:tr>
      <w:tr>
        <w:trPr>
          <w:jc w:val="center"/>
          <w:trHeight w:val="327"/>
        </w:trPr>
        <w:tc>
          <w:tcPr>
            <w:tcW w:w="1269"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8</w:t>
            </w:r>
            <w:r/>
          </w:p>
        </w:tc>
        <w:tc>
          <w:tcPr>
            <w:tcW w:w="4222" w:type="dxa"/>
            <w:vAlign w:val="center"/>
            <w:textDirection w:val="lrTb"/>
            <w:noWrap w:val="false"/>
          </w:tcPr>
          <w:p>
            <w:pPr>
              <w:jc w:val="center"/>
              <w:keepLines w:val="0"/>
              <w:keepNext w:val="0"/>
              <w:pageBreakBefore w:val="0"/>
              <w:spacing w:line="24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图文工作站</w:t>
            </w:r>
            <w:r/>
          </w:p>
        </w:tc>
        <w:tc>
          <w:tcPr>
            <w:shd w:val="clear" w:color="auto" w:fill="auto"/>
            <w:tcW w:w="1353"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1194"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r>
        <w:trPr>
          <w:jc w:val="center"/>
          <w:trHeight w:val="347"/>
        </w:trPr>
        <w:tc>
          <w:tcPr>
            <w:tcW w:w="1269" w:type="dxa"/>
            <w:vAlign w:val="center"/>
            <w:textDirection w:val="lrTb"/>
            <w:noWrap w:val="false"/>
          </w:tcPr>
          <w:p>
            <w:pPr>
              <w:jc w:val="center"/>
              <w:keepLines w:val="0"/>
              <w:keepNext w:val="0"/>
              <w:pageBreakBefore w:val="0"/>
              <w:spacing w:line="240" w:lineRule="auto"/>
              <w:widowControl w:val="off"/>
              <w:rPr>
                <w:rFonts w:hint="default" w:ascii="宋体" w:hAnsi="宋体" w:cstheme="minorEastAsia"/>
                <w:color w:val="auto"/>
                <w:sz w:val="24"/>
                <w:szCs w:val="24"/>
                <w:lang w:val="en-US" w:eastAsia="zh-CN"/>
              </w:rPr>
            </w:pPr>
            <w:r>
              <w:rPr>
                <w:rFonts w:hint="eastAsia" w:ascii="宋体" w:hAnsi="宋体" w:cstheme="minorEastAsia"/>
                <w:color w:val="auto"/>
                <w:sz w:val="24"/>
                <w:szCs w:val="24"/>
                <w:lang w:val="en-US" w:eastAsia="zh-CN"/>
              </w:rPr>
              <w:t xml:space="preserve">9</w:t>
            </w:r>
            <w:r/>
          </w:p>
        </w:tc>
        <w:tc>
          <w:tcPr>
            <w:tcW w:w="4222"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气浮式防震台</w:t>
            </w:r>
            <w:r/>
          </w:p>
        </w:tc>
        <w:tc>
          <w:tcPr>
            <w:shd w:val="clear" w:color="auto" w:fill="auto"/>
            <w:tcW w:w="1353"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套</w:t>
            </w:r>
            <w:r/>
          </w:p>
        </w:tc>
        <w:tc>
          <w:tcPr>
            <w:shd w:val="clear" w:color="auto" w:fill="auto"/>
            <w:tcW w:w="1194" w:type="dxa"/>
            <w:vAlign w:val="center"/>
            <w:textDirection w:val="lrTb"/>
            <w:noWrap w:val="false"/>
          </w:tcPr>
          <w:p>
            <w:pPr>
              <w:jc w:val="center"/>
              <w:keepLines w:val="0"/>
              <w:keepNext w:val="0"/>
              <w:pageBreakBefore w:val="0"/>
              <w:spacing w:line="240" w:lineRule="auto"/>
              <w:widowControl w:val="off"/>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w:t>
            </w:r>
            <w:r/>
          </w:p>
        </w:tc>
      </w:tr>
    </w:tbl>
    <w:p>
      <w:pPr>
        <w:spacing w:line="360" w:lineRule="auto"/>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pPr>
      <w:r>
        <w:rPr>
          <w:rFonts w:hint="default" w:asciiTheme="minorEastAsia" w:hAnsiTheme="minorEastAsia" w:eastAsiaTheme="minorEastAsia" w:cstheme="minorEastAsia"/>
          <w:color w:val="000000" w:themeColor="text1"/>
          <w:sz w:val="24"/>
          <w:szCs w:val="24"/>
          <w:highlight w:val="white"/>
          <w:u w:val="single"/>
          <w:lang w:bidi="ar"/>
          <w14:textFill>
            <w14:solidFill>
              <w14:schemeClr w14:val="tx1"/>
            </w14:solidFill>
          </w14:textFill>
        </w:rPr>
      </w:r>
      <w:r/>
    </w:p>
    <w:p>
      <w:pPr>
        <w:ind w:firstLine="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u w:val="none"/>
          <w14:textFill>
            <w14:solidFill>
              <w14:schemeClr w14:val="tx1"/>
            </w14:solidFill>
          </w14:textFill>
        </w:rPr>
        <w:t xml:space="preserve">     </w:t>
      </w:r>
      <w:r>
        <w:rPr>
          <w:rFonts w:hint="eastAsia" w:ascii="宋体" w:hAnsi="宋体"/>
          <w:bCs/>
          <w:color w:val="000000" w:themeColor="text1"/>
          <w:sz w:val="24"/>
          <w:szCs w:val="24"/>
          <w:highlight w:val="white"/>
          <w:u w:val="single"/>
          <w14:textFill>
            <w14:solidFill>
              <w14:schemeClr w14:val="tx1"/>
            </w14:solidFill>
          </w14:textFill>
        </w:rPr>
        <w:t xml:space="preserve">★二、技术参数：</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lang w:val="en-US" w:eastAsia="zh-CN"/>
        </w:rPr>
        <w:t xml:space="preserve">适用范</w:t>
      </w:r>
      <w:r>
        <w:rPr>
          <w:rFonts w:hint="eastAsia" w:ascii="宋体" w:hAnsi="宋体" w:eastAsia="宋体" w:cs="Times New Roman"/>
          <w:color w:val="auto"/>
          <w:sz w:val="24"/>
          <w:szCs w:val="24"/>
          <w:highlight w:val="none"/>
          <w:lang w:val="en-US" w:eastAsia="zh-CN"/>
        </w:rPr>
        <w:t xml:space="preserve">围：用于细胞、组织或细胞切片的荧光标记、三维图像重建分析研究，细胞生物物质、离子的定性、定量、定时和定位分布检测</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全电动倒置</w:t>
      </w:r>
      <w:r>
        <w:rPr>
          <w:rFonts w:hint="eastAsia" w:ascii="宋体" w:hAnsi="宋体" w:cs="Times New Roman"/>
          <w:color w:val="auto"/>
          <w:sz w:val="24"/>
          <w:szCs w:val="24"/>
          <w:highlight w:val="none"/>
          <w:lang w:val="en-US" w:eastAsia="zh-CN"/>
        </w:rPr>
        <w:t xml:space="preserve">荧光</w:t>
      </w:r>
      <w:r>
        <w:rPr>
          <w:rFonts w:hint="eastAsia" w:ascii="宋体" w:hAnsi="宋体" w:eastAsia="宋体" w:cs="Times New Roman"/>
          <w:color w:val="auto"/>
          <w:sz w:val="24"/>
          <w:szCs w:val="24"/>
          <w:highlight w:val="none"/>
          <w:lang w:eastAsia="zh-CN"/>
        </w:rPr>
        <w:t xml:space="preserve">显微镜</w:t>
      </w:r>
      <w:r>
        <w:rPr>
          <w:rFonts w:hint="eastAsia" w:ascii="宋体" w:hAnsi="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eastAsia="zh-CN"/>
        </w:rPr>
        <w:t xml:space="preserve">电动物镜转换，电动滤光块转盘，电动光路切换，观察方法：明场、微分干涉、荧光</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高亮度LED荧光光源，寿命20000小时以上，亮度0～100%可调</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电动载物台：移动速度可调，带手控遥控器；并具有定位记忆功能，载物台表面经超硬防滑处理，确保经久耐用</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Z轴调焦精度≤10nm</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至少</w:t>
      </w:r>
      <w:r>
        <w:rPr>
          <w:rFonts w:hint="eastAsia" w:ascii="宋体" w:hAnsi="宋体" w:eastAsia="宋体" w:cs="Times New Roman"/>
          <w:color w:val="auto"/>
          <w:sz w:val="24"/>
          <w:szCs w:val="24"/>
          <w:highlight w:val="none"/>
          <w:lang w:eastAsia="zh-CN"/>
        </w:rPr>
        <w:t xml:space="preserve">具备紫外(UV)、蓝色(B)、绿色(G)荧光滤光块，≥6位荧光滤块电动转换</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透射照明器：高亮度LED光源，配备全套微分干涉（DIC）附件</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扫描分辨率≥8192*8192</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Zoom变倍≥40X</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图像采集速度（512*512）：≥10幅/秒</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超高分辨率模块，XY轴分辨率≤120nm，Z轴分辨率≤300nm</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val="en-US" w:eastAsia="zh-CN"/>
        </w:rPr>
        <w:t xml:space="preserve">至少</w:t>
      </w:r>
      <w:r>
        <w:rPr>
          <w:rFonts w:hint="eastAsia" w:ascii="宋体" w:hAnsi="宋体" w:eastAsia="宋体" w:cs="Times New Roman"/>
          <w:color w:val="auto"/>
          <w:sz w:val="24"/>
          <w:szCs w:val="24"/>
          <w:highlight w:val="none"/>
          <w:lang w:eastAsia="zh-CN"/>
        </w:rPr>
        <w:t xml:space="preserve">具备405nm/488nm/561nm/640nm±2nm四根固体激光器</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图文工作站</w:t>
      </w:r>
      <w:r>
        <w:rPr>
          <w:rFonts w:hint="eastAsia" w:ascii="宋体" w:hAnsi="宋体" w:eastAsia="宋体" w:cs="Times New Roman"/>
          <w:color w:val="auto"/>
          <w:sz w:val="24"/>
          <w:szCs w:val="24"/>
          <w:highlight w:val="none"/>
          <w:lang w:eastAsia="zh-CN"/>
        </w:rPr>
        <w:t xml:space="preserve">具备图像采集与处理系统，配置要求：CPU最大睿频频率≥4.3GHz，基本频率≥3.0GHz，内存≥64GB和专用图像处理GPU，GPU显存≥16GB，≥2T机械硬盘，≥1T SSD，≥32英寸高清液晶显示器</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4"/>
          <w:highlight w:val="none"/>
          <w:lang w:val="en-US" w:eastAsia="zh-CN"/>
        </w:rPr>
        <w:t xml:space="preserve">共聚焦专用</w:t>
      </w:r>
      <w:r>
        <w:rPr>
          <w:rFonts w:hint="eastAsia" w:ascii="宋体" w:hAnsi="宋体" w:eastAsia="宋体" w:cs="Times New Roman"/>
          <w:color w:val="auto"/>
          <w:sz w:val="24"/>
          <w:szCs w:val="24"/>
          <w:highlight w:val="none"/>
          <w:lang w:eastAsia="zh-CN"/>
        </w:rPr>
        <w:t xml:space="preserve">软件具备3D扫描、拼图、FRAP（光漂白）功能</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具备2D/3D去卷积模块</w:t>
      </w:r>
      <w:r/>
    </w:p>
    <w:p>
      <w:pPr>
        <w:pStyle w:val="811"/>
        <w:numPr>
          <w:ilvl w:val="0"/>
          <w:numId w:val="5"/>
        </w:numPr>
        <w:ind w:left="0" w:firstLine="480"/>
        <w:keepLines w:val="0"/>
        <w:keepNext w:val="0"/>
        <w:pageBreakBefore w:val="0"/>
        <w:spacing w:before="156" w:after="156" w:line="360" w:lineRule="auto"/>
        <w:widowControl w:val="off"/>
        <w:rPr>
          <w:rFonts w:hint="eastAsia" w:ascii="宋体" w:hAnsi="宋体"/>
          <w:bCs/>
          <w:color w:val="auto"/>
          <w:sz w:val="24"/>
          <w:szCs w:val="24"/>
          <w:highlight w:val="none"/>
          <w:lang w:val="en-US" w:eastAsia="zh-CN"/>
        </w:rPr>
      </w:pPr>
      <w:r>
        <w:rPr>
          <w:rFonts w:hint="eastAsia" w:ascii="宋体" w:hAnsi="宋体" w:eastAsia="宋体" w:cs="Times New Roman"/>
          <w:color w:val="auto"/>
          <w:sz w:val="24"/>
          <w:szCs w:val="24"/>
          <w:highlight w:val="none"/>
          <w:lang w:eastAsia="zh-CN"/>
        </w:rPr>
        <w:t xml:space="preserve">共聚焦与显微镜主机须为同一品牌，保证设备配套兼容性</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auto"/>
          <w:sz w:val="24"/>
          <w:szCs w:val="24"/>
          <w:highlight w:val="none"/>
          <w:u w:val="single"/>
        </w:rPr>
      </w:pPr>
      <w:r>
        <w:rPr>
          <w:rFonts w:hint="eastAsia" w:ascii="宋体" w:hAnsi="宋体"/>
          <w:bCs/>
          <w:color w:val="auto"/>
          <w:sz w:val="24"/>
          <w:szCs w:val="24"/>
          <w:highlight w:val="none"/>
          <w:u w:val="single"/>
        </w:rPr>
        <w:t xml:space="preserve">★三、商务需求：</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在保质期内，故障发生后，要求供方在接报后2小时之内响应，12小时之内到达现场排除故障；须提供故障不能排除时的解决方案；免费质保期后，设备终身维修，维修只收配件费，供方必须以低于市场价的80％优惠提供（提供承诺书，格式自拟，须加盖投标人公章）。</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2.交货时间：合同生效之日起</w:t>
      </w:r>
      <w:r>
        <w:rPr>
          <w:rFonts w:hint="eastAsia" w:ascii="宋体" w:hAnsi="宋体"/>
          <w:bCs/>
          <w:color w:val="auto"/>
          <w:sz w:val="24"/>
          <w:szCs w:val="24"/>
          <w:highlight w:val="none"/>
          <w:lang w:val="en-US" w:eastAsia="zh-CN"/>
        </w:rPr>
        <w:t xml:space="preserve">90</w:t>
      </w:r>
      <w:r>
        <w:rPr>
          <w:rFonts w:hint="eastAsia" w:ascii="宋体" w:hAnsi="宋体"/>
          <w:bCs/>
          <w:color w:val="auto"/>
          <w:sz w:val="24"/>
          <w:szCs w:val="24"/>
          <w:highlight w:val="none"/>
        </w:rPr>
        <w:t xml:space="preserve">天内。</w:t>
      </w:r>
      <w:r/>
    </w:p>
    <w:p>
      <w:pPr>
        <w:ind w:firstLine="602"/>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3.验收标准：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供方提供的商品必须符合我国最新颁布的与之相关的技术规范与标准，同时必须满足</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中所列全部规格、型号、具体配置、技术条件及功能要求和供方承诺</w:t>
      </w:r>
      <w:r>
        <w:rPr>
          <w:rFonts w:hint="eastAsia" w:ascii="宋体" w:hAnsi="宋体"/>
          <w:bCs/>
          <w:color w:val="000000" w:themeColor="text1"/>
          <w:sz w:val="24"/>
          <w:szCs w:val="24"/>
          <w:highlight w:val="white"/>
          <w:lang w:eastAsia="zh-CN"/>
          <w14:textFill>
            <w14:solidFill>
              <w14:schemeClr w14:val="tx1"/>
            </w14:solidFill>
          </w14:textFill>
        </w:rPr>
        <w:t xml:space="preserve">的其他指标</w:t>
      </w:r>
      <w:r>
        <w:rPr>
          <w:rFonts w:hint="eastAsia" w:ascii="宋体" w:hAnsi="宋体"/>
          <w:bCs/>
          <w:color w:val="000000" w:themeColor="text1"/>
          <w:sz w:val="24"/>
          <w:szCs w:val="24"/>
          <w:highlight w:val="white"/>
          <w14:textFill>
            <w14:solidFill>
              <w14:schemeClr w14:val="tx1"/>
            </w14:solidFill>
          </w14:textFill>
        </w:rPr>
        <w:t xml:space="preserve">；要求进口产品到货日期距仪器生产日期不超过一年，国产产品不超过半年（以铭牌或说明书确认）。</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5.交货条件：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产品交货时，包装完整无破损，还必须提供以下材料：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 装箱单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 产品质检合格证明</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 若为进口产品，供方需要提供进口商品检验检疫证明和报关单</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 使用说明书及操作手册（电子版、纸质版同时提供）</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 单价10万元以上的设备需提供设备操作、保养的视频资料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6.运输及到货地点：由供方负责办理运输及装卸，直接送至需方指定地点，所有费用由供方承担。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7.安装、调试及售后服务：供方负责本次采购设备的免费安装、调试</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安装、调试过程所需耗品应由供方免费提供</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，保证培训人员正常操作该设备的各种功能。供方提供设备操作规范张贴设备上，提供设备操作规范电子档交于医院。</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8.付款方式：</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合同签订后预付合同金额30%，货到现场安装、调试、培训、验收合格后付款60%，验收合格1年后支付10%余款。（如果制造商为中小企业，按《保障中小企业款项支付条例》(国令第 802号)相关要求执行。）</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10.具备数字化接口的设备应承诺免费开放该接口，由供应商配合与医院信息系统相连接并承担相应费用</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提供承诺书，格式自拟，须加盖投标人公章</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11.具有汉字字库、中文支持的系统及中文文档的设备应免费提供该系统，暂不具备的应</w:t>
      </w:r>
      <w:r>
        <w:rPr>
          <w:rFonts w:hint="eastAsia" w:ascii="宋体" w:hAnsi="宋体"/>
          <w:bCs/>
          <w:color w:val="000000" w:themeColor="text1"/>
          <w:sz w:val="24"/>
          <w:szCs w:val="24"/>
          <w:highlight w:val="white"/>
          <w:lang w:eastAsia="zh-CN"/>
          <w14:textFill>
            <w14:solidFill>
              <w14:schemeClr w14:val="tx1"/>
            </w14:solidFill>
          </w14:textFill>
        </w:rPr>
        <w:t xml:space="preserve">承诺</w:t>
      </w:r>
      <w:r>
        <w:rPr>
          <w:rFonts w:hint="eastAsia" w:ascii="宋体" w:hAnsi="宋体"/>
          <w:bCs/>
          <w:color w:val="000000" w:themeColor="text1"/>
          <w:sz w:val="24"/>
          <w:szCs w:val="24"/>
          <w:highlight w:val="white"/>
          <w14:textFill>
            <w14:solidFill>
              <w14:schemeClr w14:val="tx1"/>
            </w14:solidFill>
          </w14:textFill>
        </w:rPr>
        <w:t xml:space="preserve">日后具备此系统后免费向用户提供（提供承诺书，格式自拟，须加盖投标人公章）。</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12.设备使用年限内（本次所投产品的年限为≥</w:t>
      </w:r>
      <w:r>
        <w:rPr>
          <w:rFonts w:hint="eastAsia" w:ascii="宋体" w:hAnsi="宋体"/>
          <w:bCs/>
          <w:color w:val="000000" w:themeColor="text1"/>
          <w:sz w:val="24"/>
          <w:szCs w:val="24"/>
          <w:highlight w:val="white"/>
          <w:lang w:val="en-US" w:eastAsia="zh-CN"/>
          <w14:textFill>
            <w14:solidFill>
              <w14:schemeClr w14:val="tx1"/>
            </w14:solidFill>
          </w14:textFill>
        </w:rPr>
        <w:t xml:space="preserve">8</w:t>
      </w:r>
      <w:r>
        <w:rPr>
          <w:rFonts w:hint="eastAsia" w:ascii="宋体" w:hAnsi="宋体"/>
          <w:bCs/>
          <w:color w:val="000000" w:themeColor="text1"/>
          <w:sz w:val="24"/>
          <w:szCs w:val="24"/>
          <w:highlight w:val="white"/>
          <w14:textFill>
            <w14:solidFill>
              <w14:schemeClr w14:val="tx1"/>
            </w14:solidFill>
          </w14:textFill>
        </w:rPr>
        <w:t xml:space="preserve">年），生产厂家应承诺保证配件、耗材的供应；若因设备升级等原因导致配件、耗材价格提高，或已无法正常供应配件、耗材时，医院有权要求生产厂家按折旧后的价格将设备回购（《关于所投设备的配件、耗材供应情况的承诺函》参考格式）。 </w:t>
      </w:r>
      <w:r/>
    </w:p>
    <w:p>
      <w:pPr>
        <w:ind w:firstLine="602"/>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13.供应商承担设备与医院设备实时监控系统相连的相关费用，达到医院实时监控要求（提供承诺书，格式自拟，须加盖投标人公章）。</w:t>
      </w:r>
      <w:r/>
    </w:p>
    <w:p>
      <w:pPr>
        <w:ind w:firstLine="602"/>
        <w:spacing w:line="360" w:lineRule="auto"/>
        <w:rPr>
          <w:rFonts w:hint="eastAsia"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 有关说明</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602"/>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white"/>
        </w:rPr>
      </w:pPr>
      <w:r>
        <w:rPr>
          <w:rFonts w:hint="eastAsia" w:ascii="宋体" w:hAnsi="宋体" w:cs="宋体"/>
          <w:color w:val="000000"/>
          <w:sz w:val="24"/>
          <w:highlight w:val="white"/>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4.投标人必须在满足招标文件要求的基础上进行报价，如有技术偏离请于投标偏离表中说明。</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602"/>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white"/>
          <w14:textFill>
            <w14:solidFill>
              <w14:schemeClr w14:val="tx1"/>
            </w14:solidFill>
          </w14:textFill>
        </w:rPr>
        <w:t xml:space="preserve">由投标人自行承担。</w:t>
      </w:r>
      <w:r/>
    </w:p>
    <w:p>
      <w:pPr>
        <w:ind w:firstLine="602"/>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whit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五、中标、成交供应商可采用合同融资形式，中标人可凭政府采购合同办理融资贷款。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七、本项目中如有涉及数据库、操作系</w:t>
      </w:r>
      <w:r>
        <w:rPr>
          <w:rFonts w:hint="eastAsia" w:ascii="宋体" w:hAnsi="宋体"/>
          <w:bCs/>
          <w:color w:val="000000" w:themeColor="text1"/>
          <w:sz w:val="24"/>
          <w:highlight w:val="whit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采购人原则上应当自收到发票后10个工作日内将资金支付到合同约定的供应商账户。</w:t>
      </w:r>
      <w:bookmarkStart w:id="189" w:name="_Toc120614281"/>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  </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  评标方法</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35"/>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35"/>
        <w:spacing w:before="0" w:after="0" w:line="500" w:lineRule="exact"/>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white"/>
          <w:shd w:val="clear" w:color="ffffff" w:fill="d9d9d9"/>
          <w14:textFill>
            <w14:solidFill>
              <w14:schemeClr w14:val="tx1"/>
            </w14:solidFill>
          </w14:textFill>
        </w:rPr>
      </w:pPr>
      <w:r>
        <w:rPr>
          <w:rFonts w:cs="Arial"/>
          <w:color w:val="000000" w:themeColor="text1"/>
          <w:highlight w:val="white"/>
          <w:shd w:val="clear" w:color="ffffff" w:fill="d9d9d9"/>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    </w:t>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jc w:val="left"/>
        <w:rPr>
          <w:rFonts w:cs="Arial"/>
          <w:b/>
          <w:bCs/>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  评标标准</w:t>
      </w:r>
      <w:r/>
    </w:p>
    <w:p>
      <w:pPr>
        <w:pStyle w:val="1035"/>
        <w:ind w:firstLine="562"/>
        <w:spacing w:before="0" w:after="0" w:line="500" w:lineRule="exact"/>
        <w:rPr>
          <w:rFonts w:hint="eastAsia"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5.如允许联合体投标的项目，且存在联合投标的</w:t>
      </w:r>
      <w:r>
        <w:rPr>
          <w:rFonts w:ascii="宋体" w:hAnsi="宋体"/>
          <w:bCs/>
          <w:color w:val="000000" w:themeColor="text1"/>
          <w:sz w:val="24"/>
          <w:szCs w:val="24"/>
          <w:highlight w:val="white"/>
          <w14:textFill>
            <w14:solidFill>
              <w14:schemeClr w14:val="tx1"/>
            </w14:solidFill>
          </w14:textFill>
        </w:rPr>
        <w:t xml:space="preserve">，联合协议中约定，小型、微型企业（</w:t>
      </w:r>
      <w:r>
        <w:rPr>
          <w:rFonts w:hint="eastAsia" w:ascii="宋体" w:hAnsi="宋体"/>
          <w:bCs/>
          <w:color w:val="000000" w:themeColor="text1"/>
          <w:sz w:val="24"/>
          <w:szCs w:val="24"/>
          <w:highlight w:val="white"/>
          <w14:textFill>
            <w14:solidFill>
              <w14:schemeClr w14:val="tx1"/>
            </w14:solidFill>
          </w14:textFill>
        </w:rPr>
        <w:t xml:space="preserve">监狱</w:t>
      </w:r>
      <w:r>
        <w:rPr>
          <w:rFonts w:ascii="宋体" w:hAnsi="宋体"/>
          <w:bCs/>
          <w:color w:val="000000" w:themeColor="text1"/>
          <w:sz w:val="24"/>
          <w:szCs w:val="24"/>
          <w:highlight w:val="whit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合同</w:t>
      </w:r>
      <w:r>
        <w:rPr>
          <w:rFonts w:ascii="宋体" w:hAnsi="宋体"/>
          <w:bCs/>
          <w:color w:val="000000" w:themeColor="text1"/>
          <w:sz w:val="24"/>
          <w:szCs w:val="24"/>
          <w:highlight w:val="whit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white"/>
          <w14:textFill>
            <w14:solidFill>
              <w14:schemeClr w14:val="tx1"/>
            </w14:solidFill>
          </w14:textFill>
        </w:rPr>
        <w:t xml:space="preserve">30</w:t>
      </w:r>
      <w:r>
        <w:rPr>
          <w:rFonts w:ascii="宋体" w:hAnsi="宋体"/>
          <w:bCs/>
          <w:color w:val="000000" w:themeColor="text1"/>
          <w:sz w:val="24"/>
          <w:szCs w:val="24"/>
          <w:highlight w:val="white"/>
          <w14:textFill>
            <w14:solidFill>
              <w14:schemeClr w14:val="tx1"/>
            </w14:solidFill>
          </w14:textFill>
        </w:rPr>
        <w:t xml:space="preserve">%以上的，可给予联合体</w:t>
      </w:r>
      <w:r>
        <w:rPr>
          <w:rFonts w:hint="eastAsia" w:ascii="宋体" w:hAnsi="宋体"/>
          <w:bCs/>
          <w:color w:val="000000" w:themeColor="text1"/>
          <w:sz w:val="24"/>
          <w:szCs w:val="24"/>
          <w:highlight w:val="white"/>
          <w14:textFill>
            <w14:solidFill>
              <w14:schemeClr w14:val="tx1"/>
            </w14:solidFill>
          </w14:textFill>
        </w:rPr>
        <w:t xml:space="preserve">4</w:t>
      </w:r>
      <w:r>
        <w:rPr>
          <w:rFonts w:ascii="宋体" w:hAnsi="宋体"/>
          <w:bCs/>
          <w:color w:val="000000" w:themeColor="text1"/>
          <w:sz w:val="24"/>
          <w:szCs w:val="24"/>
          <w:highlight w:val="white"/>
          <w14:textFill>
            <w14:solidFill>
              <w14:schemeClr w14:val="tx1"/>
            </w14:solidFill>
          </w14:textFill>
        </w:rPr>
        <w:t xml:space="preserve">%的价格扣除，</w:t>
      </w:r>
      <w:r>
        <w:rPr>
          <w:rFonts w:hint="eastAsia" w:ascii="宋体" w:hAnsi="宋体"/>
          <w:bCs/>
          <w:color w:val="000000" w:themeColor="text1"/>
          <w:sz w:val="24"/>
          <w:szCs w:val="24"/>
          <w:highlight w:val="whit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》中明确，否则不得享受价格扣除。</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联合体</w:t>
      </w:r>
      <w:r>
        <w:rPr>
          <w:rFonts w:ascii="宋体" w:hAnsi="宋体"/>
          <w:bCs/>
          <w:color w:val="000000" w:themeColor="text1"/>
          <w:sz w:val="24"/>
          <w:szCs w:val="24"/>
          <w:highlight w:val="whit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rPr>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whit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white"/>
          <w14:textFill>
            <w14:solidFill>
              <w14:schemeClr w14:val="tx1"/>
            </w14:solidFill>
          </w14:textFill>
        </w:rPr>
        <w:t xml:space="preserve">。投标人</w:t>
      </w:r>
      <w:r>
        <w:rPr>
          <w:rFonts w:ascii="宋体" w:hAnsi="宋体"/>
          <w:bCs/>
          <w:color w:val="000000" w:themeColor="text1"/>
          <w:sz w:val="24"/>
          <w:szCs w:val="24"/>
          <w:highlight w:val="white"/>
          <w14:textFill>
            <w14:solidFill>
              <w14:schemeClr w14:val="tx1"/>
            </w14:solidFill>
          </w14:textFill>
        </w:rPr>
        <w:t xml:space="preserve">须在</w:t>
      </w:r>
      <w:r>
        <w:rPr>
          <w:rFonts w:hint="eastAsia" w:ascii="宋体" w:hAnsi="宋体"/>
          <w:bCs/>
          <w:color w:val="000000" w:themeColor="text1"/>
          <w:sz w:val="24"/>
          <w:szCs w:val="24"/>
          <w:highlight w:val="white"/>
          <w14:textFill>
            <w14:solidFill>
              <w14:schemeClr w14:val="tx1"/>
            </w14:solidFill>
          </w14:textFill>
        </w:rPr>
        <w:t xml:space="preserve">《联合</w:t>
      </w:r>
      <w:r>
        <w:rPr>
          <w:rFonts w:ascii="宋体" w:hAnsi="宋体"/>
          <w:bCs/>
          <w:color w:val="000000" w:themeColor="text1"/>
          <w:sz w:val="24"/>
          <w:szCs w:val="24"/>
          <w:highlight w:val="white"/>
          <w14:textFill>
            <w14:solidFill>
              <w14:schemeClr w14:val="tx1"/>
            </w14:solidFill>
          </w14:textFill>
        </w:rPr>
        <w:t xml:space="preserve">体各方共同</w:t>
      </w:r>
      <w:r>
        <w:rPr>
          <w:rFonts w:hint="eastAsia" w:ascii="宋体" w:hAnsi="宋体"/>
          <w:bCs/>
          <w:color w:val="000000" w:themeColor="text1"/>
          <w:sz w:val="24"/>
          <w:szCs w:val="24"/>
          <w:highlight w:val="white"/>
          <w14:textFill>
            <w14:solidFill>
              <w14:schemeClr w14:val="tx1"/>
            </w14:solidFill>
          </w14:textFill>
        </w:rPr>
        <w:t xml:space="preserve">投标</w:t>
      </w:r>
      <w:r>
        <w:rPr>
          <w:rFonts w:ascii="宋体" w:hAnsi="宋体"/>
          <w:bCs/>
          <w:color w:val="000000" w:themeColor="text1"/>
          <w:sz w:val="24"/>
          <w:szCs w:val="24"/>
          <w:highlight w:val="white"/>
          <w14:textFill>
            <w14:solidFill>
              <w14:schemeClr w14:val="tx1"/>
            </w14:solidFill>
          </w14:textFill>
        </w:rPr>
        <w:t xml:space="preserve">协议</w:t>
      </w:r>
      <w:r>
        <w:rPr>
          <w:rFonts w:hint="eastAsia" w:ascii="宋体" w:hAnsi="宋体"/>
          <w:bCs/>
          <w:color w:val="000000" w:themeColor="text1"/>
          <w:sz w:val="24"/>
          <w:szCs w:val="24"/>
          <w:highlight w:val="white"/>
          <w14:textFill>
            <w14:solidFill>
              <w14:schemeClr w14:val="tx1"/>
            </w14:solidFill>
          </w14:textFill>
        </w:rPr>
        <w:t xml:space="preserve">》中</w:t>
      </w:r>
      <w:r>
        <w:rPr>
          <w:rFonts w:ascii="宋体" w:hAnsi="宋体"/>
          <w:bCs/>
          <w:color w:val="000000" w:themeColor="text1"/>
          <w:sz w:val="24"/>
          <w:szCs w:val="24"/>
          <w:highlight w:val="white"/>
          <w14:textFill>
            <w14:solidFill>
              <w14:schemeClr w14:val="tx1"/>
            </w14:solidFill>
          </w14:textFill>
        </w:rPr>
        <w:t xml:space="preserve">明确联合体各方是否存在</w:t>
      </w:r>
      <w:r>
        <w:rPr>
          <w:rFonts w:hint="eastAsia" w:ascii="宋体" w:hAnsi="宋体"/>
          <w:bCs/>
          <w:color w:val="000000" w:themeColor="text1"/>
          <w:sz w:val="24"/>
          <w:szCs w:val="24"/>
          <w:highlight w:val="white"/>
          <w14:textFill>
            <w14:solidFill>
              <w14:schemeClr w14:val="tx1"/>
            </w14:solidFill>
          </w14:textFill>
        </w:rPr>
        <w:t xml:space="preserve">上述</w:t>
      </w:r>
      <w:r>
        <w:rPr>
          <w:rFonts w:ascii="宋体" w:hAnsi="宋体"/>
          <w:bCs/>
          <w:color w:val="000000" w:themeColor="text1"/>
          <w:sz w:val="24"/>
          <w:szCs w:val="24"/>
          <w:highlight w:val="white"/>
          <w14:textFill>
            <w14:solidFill>
              <w14:schemeClr w14:val="tx1"/>
            </w14:solidFill>
          </w14:textFill>
        </w:rPr>
        <w:t xml:space="preserve">关系，如未进行明确的亦不得享受价格扣除</w:t>
      </w:r>
      <w:r>
        <w:rPr>
          <w:rFonts w:hint="eastAsia" w:ascii="宋体" w:hAnsi="宋体"/>
          <w:bCs/>
          <w:color w:val="000000" w:themeColor="text1"/>
          <w:sz w:val="24"/>
          <w:szCs w:val="24"/>
          <w:highlight w:val="white"/>
          <w14:textFill>
            <w14:solidFill>
              <w14:schemeClr w14:val="tx1"/>
            </w14:solidFill>
          </w14:textFill>
        </w:rPr>
        <w:t xml:space="preserve">。</w:t>
      </w:r>
      <w:r/>
    </w:p>
    <w:p>
      <w:pPr>
        <w:pStyle w:val="1035"/>
        <w:ind w:firstLine="281"/>
        <w:spacing w:before="0" w:after="0" w:line="500" w:lineRule="exact"/>
        <w:rPr>
          <w:rFonts w:hint="eastAsia" w:ascii="宋体" w:hAnsi="宋体"/>
          <w:b/>
          <w:bCs/>
          <w:color w:val="000000" w:themeColor="text1"/>
          <w:sz w:val="28"/>
          <w:szCs w:val="28"/>
          <w:highlight w:val="white"/>
          <w:shd w:val="clear" w:color="ffffff" w:fill="d9d9d9"/>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w:t>
      </w:r>
      <w:r/>
    </w:p>
    <w:p>
      <w:pPr>
        <w:pStyle w:val="1035"/>
        <w:ind w:firstLine="281"/>
        <w:spacing w:before="0" w:after="0" w:line="500" w:lineRule="exact"/>
        <w:rPr>
          <w:rFonts w:hint="eastAsia" w:ascii="宋体" w:hAnsi="宋体"/>
          <w:b/>
          <w:bCs/>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 二、评分标准</w:t>
      </w:r>
      <w:r/>
    </w:p>
    <w:p>
      <w:pPr>
        <w:ind w:firstLine="480"/>
        <w:jc w:val="left"/>
        <w:spacing w:line="500" w:lineRule="exact"/>
        <w:rPr>
          <w:rFonts w:hint="eastAsia" w:ascii="宋体" w:hAnsi="宋体"/>
          <w:b/>
          <w:bCs/>
          <w:color w:val="000000" w:themeColor="text1"/>
          <w:sz w:val="24"/>
          <w:szCs w:val="24"/>
          <w:highlight w:val="whit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354"/>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1.价格（40分）</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bookmarkStart w:id="190" w:name="_Hlk177222559"/>
      <w:r>
        <w:rPr>
          <w:rFonts w:hint="eastAsia" w:ascii="宋体" w:hAnsi="宋体"/>
          <w:bCs/>
          <w:color w:val="000000" w:themeColor="text1"/>
          <w:sz w:val="24"/>
          <w:szCs w:val="24"/>
          <w:highlight w:val="white"/>
          <w14:textFill>
            <w14:solidFill>
              <w14:schemeClr w14:val="tx1"/>
            </w14:solidFill>
          </w14:textFill>
        </w:rPr>
        <w:t xml:space="preserve">以进入评标程序、满足招标文件要求且报价最低的投标报价为评标基准价（须未超过采购预算价），其价格分为满分。其他投标人的价格分统一按照下列公式计算：</w:t>
      </w:r>
      <w:bookmarkEnd w:id="190"/>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投标报价得分=（评标基准价/投标报价）×价格权重分（保留两位小数</w:t>
      </w:r>
      <w:r>
        <w:rPr>
          <w:highlight w:val="white"/>
        </w:rPr>
        <w:t xml:space="preserve">）</w:t>
      </w:r>
      <w:r/>
    </w:p>
    <w:p>
      <w:pPr>
        <w:ind w:firstLine="480"/>
        <w:jc w:val="left"/>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技术（40分）</w:t>
      </w:r>
      <w:r/>
    </w:p>
    <w:p>
      <w:pPr>
        <w:ind w:firstLine="480"/>
        <w:jc w:val="left"/>
        <w:spacing w:line="360" w:lineRule="auto"/>
        <w:rPr>
          <w:highlight w:val="whit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white"/>
          <w14:textFill>
            <w14:solidFill>
              <w14:schemeClr w14:val="tx1"/>
            </w14:solidFill>
          </w14:textFill>
        </w:rPr>
        <w:t xml:space="preserve">以下技术分条款必须提供技术支持资料（如产品说明书、彩页、相关检测报告、医疗器</w:t>
      </w:r>
      <w:r>
        <w:rPr>
          <w:rFonts w:hint="eastAsia" w:ascii="宋体" w:hAnsi="宋体"/>
          <w:b/>
          <w:bCs/>
          <w:color w:val="000000" w:themeColor="text1"/>
          <w:sz w:val="24"/>
          <w:szCs w:val="24"/>
          <w:highlight w:val="none"/>
          <w14:textFill>
            <w14:solidFill>
              <w14:schemeClr w14:val="tx1"/>
            </w14:solidFill>
          </w14:textFill>
        </w:rPr>
        <w:t xml:space="preserve">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31"/>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6582"/>
        <w:gridCol w:w="758"/>
        <w:gridCol w:w="802"/>
      </w:tblGrid>
      <w:tr>
        <w:trPr>
          <w:jc w:val="center"/>
          <w:trHeight w:val="279"/>
        </w:trPr>
        <w:tc>
          <w:tcPr>
            <w:tcW w:w="696" w:type="dxa"/>
            <w:vAlign w:val="center"/>
            <w:textDirection w:val="lrTb"/>
            <w:noWrap w:val="false"/>
          </w:tcPr>
          <w:p>
            <w:pPr>
              <w:jc w:val="center"/>
              <w:keepLines w:val="0"/>
              <w:keepNext w:val="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序号</w:t>
            </w:r>
            <w:r/>
          </w:p>
        </w:tc>
        <w:tc>
          <w:tcPr>
            <w:tcW w:w="658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技术评分标准</w:t>
            </w:r>
            <w:r/>
          </w:p>
        </w:tc>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评分下限</w:t>
            </w:r>
            <w:r/>
          </w:p>
        </w:tc>
        <w:tc>
          <w:tcPr>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评分上限</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1</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bCs/>
                <w:color w:val="auto"/>
                <w:sz w:val="24"/>
                <w:szCs w:val="24"/>
              </w:rPr>
              <w:t xml:space="preserve">具备≥7孔位电动聚光器转盘，聚光镜N.A.≥0.50，W.D.≥25mm，得1分；达到：N.A.≥0.52，W.D.≥28mm，得2分，其他不得分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Height w:val="90"/>
        </w:trPr>
        <w:tc>
          <w:tcPr>
            <w:tcW w:w="69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lang w:val="en-US" w:eastAsia="zh-CN"/>
              </w:rPr>
              <w:t xml:space="preserve">2</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t xml:space="preserve">10倍物镜：</w:t>
            </w:r>
            <w:r/>
          </w:p>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rPr>
              <w:t xml:space="preserve">N.A.≥0.4，W.D.≥2.5mm，得1分；达到：N.A.≥0.45，W.D.≥4.0mm，得2分，其他不得分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2</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t xml:space="preserve">20倍物镜：</w:t>
            </w:r>
            <w:r/>
          </w:p>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rPr>
              <w:t xml:space="preserve">N.A.≥0.75，W.D.≥0.6mm，得1分；达到：N.A.≥0.8，W.D.≥0.8mm，得2分，其他不得分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4</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eastAsia="宋体"/>
                <w:color w:val="auto"/>
                <w:sz w:val="24"/>
                <w:szCs w:val="24"/>
              </w:rPr>
            </w:pPr>
            <w:r>
              <w:rPr>
                <w:rFonts w:hint="eastAsia" w:ascii="宋体" w:hAnsi="宋体" w:eastAsia="宋体"/>
                <w:color w:val="auto"/>
                <w:sz w:val="24"/>
                <w:szCs w:val="24"/>
              </w:rPr>
              <w:t xml:space="preserve">40倍物镜：</w:t>
            </w:r>
            <w:r/>
          </w:p>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N.A.≥0.9，W.D.≥0.17mm，得1分；达到：N.A.≥0.95，W.D.≥0.21mm，得2分，其他不得分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5</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eastAsia="宋体"/>
                <w:color w:val="auto"/>
                <w:sz w:val="24"/>
                <w:szCs w:val="24"/>
              </w:rPr>
            </w:pPr>
            <w:r>
              <w:rPr>
                <w:rFonts w:hint="eastAsia" w:ascii="宋体" w:hAnsi="宋体" w:eastAsia="宋体"/>
                <w:color w:val="auto"/>
                <w:sz w:val="24"/>
                <w:szCs w:val="24"/>
              </w:rPr>
              <w:t xml:space="preserve">60倍/63倍物镜(油镜)：</w:t>
            </w:r>
            <w:r/>
          </w:p>
          <w:p>
            <w:pP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eastAsia="宋体"/>
                <w:color w:val="auto"/>
                <w:sz w:val="24"/>
                <w:szCs w:val="24"/>
              </w:rPr>
              <w:t xml:space="preserve">N.A.≥1.4，W.D.≥0.11mm，得1分；达到：N.A.≥1.42，W.D.≥0.15mm，得2分，其他不得分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2</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6</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t xml:space="preserve">100倍物镜(油镜)：</w:t>
            </w:r>
            <w:r/>
          </w:p>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rPr>
              <w:t xml:space="preserve">N.A.≥1.4，W.D.≥0.11mm，得1分；达到：N.A.≥1.45，W.D.≥0.13mm，得2分，其他不得分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s="Times New Roman"/>
                <w:color w:val="auto"/>
                <w:sz w:val="24"/>
                <w:szCs w:val="24"/>
                <w:lang w:val="en-US" w:eastAsia="zh-CN" w:bidi="ar-SA"/>
              </w:rPr>
              <w:t xml:space="preserve">2</w:t>
            </w:r>
            <w:r/>
          </w:p>
        </w:tc>
      </w:tr>
      <w:tr>
        <w:trPr>
          <w:jc w:val="center"/>
          <w:trHeight w:val="739"/>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7</w:t>
            </w:r>
            <w:r/>
          </w:p>
        </w:tc>
        <w:tc>
          <w:tcPr>
            <w:tcW w:w="6582" w:type="dxa"/>
            <w:vAlign w:val="center"/>
            <w:textDirection w:val="lrTb"/>
            <w:noWrap w:val="false"/>
          </w:tcPr>
          <w:p>
            <w:pPr>
              <w:keepLines w:val="0"/>
              <w:keepNext w:val="0"/>
              <w:pageBreakBefore w:val="0"/>
              <w:spacing w:line="240" w:lineRule="auto"/>
              <w:widowControl w:val="off"/>
              <w:rPr>
                <w:rFonts w:hint="default"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共聚焦扫描成像视野≥22mm，得2分；达到：≥25mm，得4分，其他不得分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Times New Roman"/>
                <w:color w:val="auto"/>
                <w:sz w:val="24"/>
                <w:szCs w:val="24"/>
                <w:lang w:val="en-US" w:eastAsia="zh-CN" w:bidi="ar-SA"/>
              </w:rPr>
            </w:pPr>
            <w:r>
              <w:rPr>
                <w:rFonts w:hint="eastAsia" w:ascii="宋体" w:hAnsi="宋体"/>
                <w:color w:val="auto"/>
                <w:sz w:val="24"/>
                <w:szCs w:val="24"/>
                <w:lang w:val="en-US" w:eastAsia="zh-CN"/>
              </w:rPr>
              <w:t xml:space="preserve">4</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8</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具有旋转扫描功能，旋转角度≥180°，得1分；达到≥270°，得2分，其他不得分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9</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探测器数量≥2个，得2分；达到：≥4个，得4分，其他不得分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10</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至少一个探测器为硅基探测器，得1分，至少一个探测器为GaAsP，得2分，其他不得分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11</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Zoom变倍≥45X，得2分；达到：≥100X，得4分，其他不得分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12</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每根激光器功率均≥20mW，得1分；达到：≥50mW，得2分，其他不得分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2</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13</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具备人工智能模块，可提升图像信噪比，得4分，其他不得分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w:t>
            </w:r>
            <w:r/>
          </w:p>
        </w:tc>
      </w:tr>
      <w:tr>
        <w:trPr>
          <w:jc w:val="center"/>
        </w:trPr>
        <w:tc>
          <w:tcPr>
            <w:tcW w:w="696"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14</w:t>
            </w:r>
            <w:r/>
          </w:p>
        </w:tc>
        <w:tc>
          <w:tcPr>
            <w:tcW w:w="6582" w:type="dxa"/>
            <w:vAlign w:val="center"/>
            <w:textDirection w:val="lrTb"/>
            <w:noWrap w:val="false"/>
          </w:tcPr>
          <w:p>
            <w:pPr>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具有多维图像采集功能；支持荧光强度测定；支持共定位定量分析；支持3D图像分析；支持Z轴深度补偿；支持拍摄参数重复调用；满足1项得1分，最高得6分，其他不得分</w:t>
            </w:r>
            <w:r/>
          </w:p>
        </w:tc>
        <w:tc>
          <w:tcPr>
            <w:tcW w:w="758"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0</w:t>
            </w:r>
            <w:r/>
          </w:p>
        </w:tc>
        <w:tc>
          <w:tcPr>
            <w:tcW w:w="802"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6</w:t>
            </w:r>
            <w:r/>
          </w:p>
        </w:tc>
      </w:tr>
    </w:tbl>
    <w:p>
      <w:pPr>
        <w:jc w:val="left"/>
        <w:spacing w:line="360" w:lineRule="auto"/>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w:t>
      </w:r>
      <w:r>
        <w:rPr>
          <w:rFonts w:hint="eastAsia"/>
          <w:color w:val="000000" w:themeColor="text1"/>
          <w:highlight w:val="white"/>
          <w14:textFill>
            <w14:solidFill>
              <w14:schemeClr w14:val="tx1"/>
            </w14:solidFill>
          </w14:textFill>
        </w:rPr>
        <w:t xml:space="preserve"> </w:t>
      </w:r>
      <w:r>
        <w:rPr>
          <w:rFonts w:hint="eastAsia" w:ascii="宋体" w:hAnsi="宋体"/>
          <w:b/>
          <w:bCs/>
          <w:color w:val="000000" w:themeColor="text1"/>
          <w:sz w:val="24"/>
          <w:szCs w:val="24"/>
          <w:highlight w:val="white"/>
          <w14:textFill>
            <w14:solidFill>
              <w14:schemeClr w14:val="tx1"/>
            </w14:solidFill>
          </w14:textFill>
        </w:rPr>
        <w:t xml:space="preserve">商务（20分）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3.1 </w:t>
      </w:r>
      <w:r>
        <w:rPr>
          <w:rFonts w:hint="eastAsia" w:ascii="宋体" w:hAnsi="宋体"/>
          <w:bCs/>
          <w:color w:val="000000" w:themeColor="text1"/>
          <w:sz w:val="24"/>
          <w:szCs w:val="24"/>
          <w:highlight w:val="white"/>
          <w14:textFill>
            <w14:solidFill>
              <w14:schemeClr w14:val="tx1"/>
            </w14:solidFill>
          </w14:textFill>
        </w:rPr>
        <w:t xml:space="preserve">质保期（3分）：以原厂免费质保</w:t>
      </w:r>
      <w:r>
        <w:rPr>
          <w:rFonts w:hint="eastAsia" w:ascii="宋体" w:hAnsi="宋体"/>
          <w:bCs/>
          <w:color w:val="000000" w:themeColor="text1"/>
          <w:sz w:val="24"/>
          <w:szCs w:val="24"/>
          <w:highlight w:val="white"/>
          <w:lang w:val="en-US" w:eastAsia="zh-CN"/>
          <w14:textFill>
            <w14:solidFill>
              <w14:schemeClr w14:val="tx1"/>
            </w14:solidFill>
          </w14:textFill>
        </w:rPr>
        <w:t xml:space="preserve">3</w:t>
      </w:r>
      <w:r>
        <w:rPr>
          <w:rFonts w:hint="eastAsia" w:ascii="宋体" w:hAnsi="宋体"/>
          <w:bCs/>
          <w:color w:val="000000" w:themeColor="text1"/>
          <w:sz w:val="24"/>
          <w:szCs w:val="24"/>
          <w:highlight w:val="white"/>
          <w14:textFill>
            <w14:solidFill>
              <w14:schemeClr w14:val="tx1"/>
            </w14:solidFill>
          </w14:textFill>
        </w:rPr>
        <w:t xml:space="preserve">年为基准，每增加一年得1分，最多不超过3分。提供生产厂家出具的《质量保证及售后服务承诺书》（给定格式）扫描件并加盖投标人电子公章</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所投若为进口设备，则由国内总代理出具</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keepLines w:val="0"/>
        <w:keepNext w:val="0"/>
        <w:pageBreakBefore w:val="0"/>
        <w:spacing w:line="360" w:lineRule="auto"/>
        <w:widowControl w:val="off"/>
        <w:rPr>
          <w:rFonts w:hint="default" w:ascii="宋体" w:hAnsi="宋体" w:eastAsia="宋体"/>
          <w:bCs/>
          <w:color w:val="000000" w:themeColor="text1"/>
          <w:sz w:val="24"/>
          <w:szCs w:val="24"/>
          <w:highlight w:val="white"/>
          <w:lang w:val="en-US" w:eastAsia="zh-CN"/>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3.2 备用机（2分）：若设备出现故障，24小时内无法解决的，承诺提供备用机得2分，不提供不得分。（提供备用机承诺书，格式自拟，并加盖投标人电子公章）</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3.3 </w:t>
      </w:r>
      <w:r>
        <w:rPr>
          <w:rFonts w:hint="eastAsia" w:ascii="宋体" w:hAnsi="宋体"/>
          <w:bCs/>
          <w:color w:val="000000" w:themeColor="text1"/>
          <w:sz w:val="24"/>
          <w:szCs w:val="24"/>
          <w:highlight w:val="white"/>
          <w14:textFill>
            <w14:solidFill>
              <w14:schemeClr w14:val="tx1"/>
            </w14:solidFill>
          </w14:textFill>
        </w:rPr>
        <w:t xml:space="preserve">服务方案体系（6分）：投标人保障采购项目能够达到招标文件设定的使用和运行状态而提供的①配送、安装，②调试、培训，③响应时间，④咨询（技术支持）， ⑤维修以及⑥应急保障措施等一系列服务方案。</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需求，得1分；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共6项，最高得6分。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3.4</w:t>
      </w:r>
      <w:r>
        <w:rPr>
          <w:rFonts w:hint="eastAsia" w:ascii="宋体" w:hAnsi="宋体"/>
          <w:bCs/>
          <w:color w:val="000000" w:themeColor="text1"/>
          <w:sz w:val="24"/>
          <w:szCs w:val="24"/>
          <w:highlight w:val="white"/>
          <w14:textFill>
            <w14:solidFill>
              <w14:schemeClr w14:val="tx1"/>
            </w14:solidFill>
          </w14:textFill>
        </w:rPr>
        <w:t xml:space="preserve">服务保障体系（</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分）：投标人保障服务方案的实施而设立的①服务机构、配备的相应服务人员、设施装备，以及相应的服务细则和规范的管理制度，②确保兑现服务承诺、保证服务质量的措施。</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单项不存在瑕疵、漏项，有针对性解决说明，满足项目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需求，得2分；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单项存在1处瑕疵、漏项，得1分；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单项存在2处及以上瑕疵、漏项或未提供、不满足项目</w:t>
      </w:r>
      <w:r>
        <w:rPr>
          <w:rFonts w:hint="eastAsia" w:ascii="宋体" w:hAnsi="宋体"/>
          <w:bCs/>
          <w:color w:val="000000" w:themeColor="text1"/>
          <w:sz w:val="24"/>
          <w:szCs w:val="24"/>
          <w:highlight w:val="white"/>
          <w:lang w:eastAsia="zh-CN"/>
          <w14:textFill>
            <w14:solidFill>
              <w14:schemeClr w14:val="tx1"/>
            </w14:solidFill>
          </w14:textFill>
        </w:rPr>
        <w:t xml:space="preserve">招标文件</w:t>
      </w:r>
      <w:r>
        <w:rPr>
          <w:rFonts w:hint="eastAsia" w:ascii="宋体" w:hAnsi="宋体"/>
          <w:bCs/>
          <w:color w:val="000000" w:themeColor="text1"/>
          <w:sz w:val="24"/>
          <w:szCs w:val="24"/>
          <w:highlight w:val="white"/>
          <w14:textFill>
            <w14:solidFill>
              <w14:schemeClr w14:val="tx1"/>
            </w14:solidFill>
          </w14:textFill>
        </w:rPr>
        <w:t xml:space="preserve">需求，得0分；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共</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项，最高得</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3.5 </w:t>
      </w:r>
      <w:r>
        <w:rPr>
          <w:rFonts w:hint="eastAsia" w:ascii="宋体" w:hAnsi="宋体"/>
          <w:bCs/>
          <w:color w:val="000000" w:themeColor="text1"/>
          <w:sz w:val="24"/>
          <w:szCs w:val="24"/>
          <w:highlight w:val="white"/>
          <w14:textFill>
            <w14:solidFill>
              <w14:schemeClr w14:val="tx1"/>
            </w14:solidFill>
          </w14:textFill>
        </w:rPr>
        <w:t xml:space="preserve">销售业绩及客户评价比较（3分）：从2023年1</w:t>
      </w:r>
      <w:r>
        <w:rPr>
          <w:rFonts w:hint="eastAsia" w:ascii="宋体" w:hAnsi="宋体"/>
          <w:bCs/>
          <w:color w:val="000000" w:themeColor="text1"/>
          <w:sz w:val="24"/>
          <w:szCs w:val="24"/>
          <w:highlight w:val="white"/>
          <w:lang w:eastAsia="zh-CN"/>
          <w14:textFill>
            <w14:solidFill>
              <w14:schemeClr w14:val="tx1"/>
            </w14:solidFill>
          </w14:textFill>
        </w:rPr>
        <w:t xml:space="preserve">月以</w:t>
      </w:r>
      <w:r>
        <w:rPr>
          <w:rFonts w:hint="eastAsia" w:ascii="宋体" w:hAnsi="宋体"/>
          <w:bCs/>
          <w:color w:val="000000" w:themeColor="text1"/>
          <w:sz w:val="24"/>
          <w:szCs w:val="24"/>
          <w:highlight w:val="white"/>
          <w14:textFill>
            <w14:solidFill>
              <w14:schemeClr w14:val="tx1"/>
            </w14:solidFill>
          </w14:textFill>
        </w:rPr>
        <w:t xml:space="preserve">来主要业绩，提供投标人与终端用户签订的与本次招标采购项目类似产品的完整销售合同复印件，有一例得1.5分，最高不超过3分（提供合同复印件并加盖投标人电子公章）。</w:t>
      </w:r>
      <w:r>
        <w:rPr>
          <w:rFonts w:hint="eastAsia" w:ascii="宋体" w:hAnsi="宋体" w:cs="宋体"/>
          <w:color w:val="000000"/>
          <w:sz w:val="24"/>
          <w:szCs w:val="24"/>
          <w:highlight w:val="white"/>
        </w:rPr>
        <w:t xml:space="preserve">合同金额如在50万元以上（含50万元），还须提供</w:t>
      </w:r>
      <w:r>
        <w:rPr>
          <w:rFonts w:hint="eastAsia" w:ascii="宋体" w:hAnsi="宋体" w:cs="宋体"/>
          <w:color w:val="000000"/>
          <w:sz w:val="24"/>
          <w:szCs w:val="24"/>
          <w:highlight w:val="white"/>
          <w:lang w:val="en-US" w:eastAsia="zh-CN"/>
        </w:rPr>
        <w:t xml:space="preserve">中标（成交）页面或</w:t>
      </w:r>
      <w:r>
        <w:rPr>
          <w:rFonts w:hint="eastAsia" w:ascii="宋体" w:hAnsi="宋体" w:cs="宋体"/>
          <w:color w:val="000000"/>
          <w:sz w:val="24"/>
          <w:szCs w:val="24"/>
          <w:highlight w:val="white"/>
        </w:rPr>
        <w:t xml:space="preserve">合同公示页面截图进行佐证。截图内容含公示网站名称或地址、公示日期、完整公示内容。</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 xml:space="preserve">3.6 </w:t>
      </w:r>
      <w:r>
        <w:rPr>
          <w:rFonts w:hint="eastAsia" w:ascii="宋体" w:hAnsi="宋体"/>
          <w:bCs/>
          <w:color w:val="000000" w:themeColor="text1"/>
          <w:sz w:val="24"/>
          <w:szCs w:val="24"/>
          <w:highlight w:val="white"/>
          <w14:textFill>
            <w14:solidFill>
              <w14:schemeClr w14:val="tx1"/>
            </w14:solidFill>
          </w14:textFill>
        </w:rPr>
        <w:t xml:space="preserve">政策性因素（2分）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pStyle w:val="735"/>
        <w:ind w:firstLine="0"/>
        <w:rPr>
          <w:highlight w:val="white"/>
        </w:rPr>
      </w:pPr>
      <w:r>
        <w:rPr>
          <w:highlight w:val="white"/>
        </w:rPr>
      </w:r>
      <w:r/>
    </w:p>
    <w:p>
      <w:pPr>
        <w:jc w:val="center"/>
        <w:spacing w:line="500" w:lineRule="exact"/>
        <w:rPr>
          <w:rFonts w:ascii="黑体" w:eastAsia="黑体"/>
          <w:bCs/>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  </w:t>
      </w:r>
      <w:bookmarkEnd w:id="187"/>
      <w:r/>
      <w:bookmarkEnd w:id="188"/>
      <w:r/>
      <w:bookmarkEnd w:id="189"/>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35"/>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91" w:name="_Hlt26955039"/>
      <w:r/>
      <w:bookmarkEnd w:id="191"/>
      <w:r/>
      <w:bookmarkStart w:id="192" w:name="_Hlt26671244"/>
      <w:r/>
      <w:bookmarkEnd w:id="192"/>
      <w:r/>
      <w:bookmarkStart w:id="193" w:name="_Toc26554094"/>
      <w:r/>
      <w:bookmarkStart w:id="194" w:name="_Toc120614282"/>
      <w:r/>
      <w:bookmarkStart w:id="195" w:name="_Toc49090576"/>
      <w:r>
        <w:rPr>
          <w:rFonts w:hint="eastAsia" w:cs="Arial"/>
          <w:b/>
          <w:color w:val="000000" w:themeColor="text1"/>
          <w:sz w:val="30"/>
          <w:szCs w:val="30"/>
          <w:highlight w:val="white"/>
          <w14:textFill>
            <w14:solidFill>
              <w14:schemeClr w14:val="tx1"/>
            </w14:solidFill>
          </w14:textFill>
        </w:rPr>
        <w:t xml:space="preserve">第一部分  投标文件内容</w:t>
      </w:r>
      <w:r/>
    </w:p>
    <w:p>
      <w:pPr>
        <w:pStyle w:val="1035"/>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3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序号</w:t>
            </w:r>
            <w:r/>
          </w:p>
        </w:tc>
        <w:tc>
          <w:tcPr>
            <w:tcW w:w="6104" w:type="dxa"/>
            <w:vAlign w:val="center"/>
            <w:textDirection w:val="lrTb"/>
            <w:noWrap w:val="false"/>
          </w:tcPr>
          <w:p>
            <w:pPr>
              <w:pStyle w:val="1035"/>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2449" w:type="dxa"/>
            <w:vAlign w:val="center"/>
            <w:textDirection w:val="lrTb"/>
            <w:noWrap w:val="false"/>
          </w:tcPr>
          <w:p>
            <w:pPr>
              <w:pStyle w:val="1035"/>
              <w:ind w:firstLine="0"/>
              <w:jc w:val="center"/>
              <w:spacing w:before="0" w:after="0" w:line="240" w:lineRule="auto"/>
              <w:rPr>
                <w:rFonts w:hint="eastAsia" w:ascii="宋体" w:hAnsi="宋体" w:cs="宋体"/>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1</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2</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3</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24"/>
                <w:rFonts w:hint="eastAsia" w:ascii="宋体" w:hAnsi="宋体" w:cs="宋体"/>
                <w:color w:val="000000" w:themeColor="text1"/>
                <w:sz w:val="24"/>
                <w:szCs w:val="24"/>
                <w:highlight w:val="white"/>
                <w14:textFill>
                  <w14:solidFill>
                    <w14:schemeClr w14:val="tx1"/>
                  </w14:solidFill>
                </w14:textFill>
              </w:rPr>
              <w:t xml:space="preserve">。</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4</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5</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35"/>
              <w:ind w:firstLine="0"/>
              <w:jc w:val="both"/>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35"/>
              <w:ind w:firstLine="0"/>
              <w:jc w:val="center"/>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35"/>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8</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本项目要求的特定资格证明</w:t>
            </w:r>
            <w:r>
              <w:rPr>
                <w:rFonts w:hint="eastAsia" w:ascii="宋体" w:hAnsi="宋体" w:cs="宋体"/>
                <w:color w:val="000000" w:themeColor="text1"/>
                <w:highlight w:val="white"/>
                <w14:textFill>
                  <w14:solidFill>
                    <w14:schemeClr w14:val="tx1"/>
                  </w14:solidFill>
                </w14:textFill>
              </w:rPr>
              <w:t xml:space="preserve">文件（</w:t>
            </w:r>
            <w:r>
              <w:rPr>
                <w:rFonts w:hint="eastAsia" w:ascii="宋体" w:hAnsi="宋体" w:cs="宋体"/>
                <w:bCs/>
                <w:color w:val="000000" w:themeColor="text1"/>
                <w:highlight w:val="white"/>
                <w14:textFill>
                  <w14:solidFill>
                    <w14:schemeClr w14:val="tx1"/>
                  </w14:solidFill>
                </w14:textFill>
              </w:rPr>
              <w:t xml:space="preserve">如有</w:t>
            </w:r>
            <w:r>
              <w:rPr>
                <w:rFonts w:hint="eastAsia" w:ascii="宋体" w:hAnsi="宋体" w:cs="宋体"/>
                <w:color w:val="000000" w:themeColor="text1"/>
                <w:highlight w:val="white"/>
                <w14:textFill>
                  <w14:solidFill>
                    <w14:schemeClr w14:val="tx1"/>
                  </w14:solidFill>
                </w14:textFill>
              </w:rPr>
              <w:t xml:space="preserve">）。</w:t>
            </w:r>
            <w:r/>
          </w:p>
        </w:tc>
        <w:tc>
          <w:tcPr>
            <w:tcW w:w="2449" w:type="dxa"/>
            <w:vAlign w:val="center"/>
            <w:textDirection w:val="lrTb"/>
            <w:noWrap w:val="false"/>
          </w:tcPr>
          <w:p>
            <w:pPr>
              <w:pStyle w:val="1035"/>
              <w:ind w:firstLine="0"/>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color w:val="000000" w:themeColor="text1"/>
                <w:highlight w:val="whit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35"/>
              <w:ind w:firstLine="0"/>
              <w:jc w:val="center"/>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9</w:t>
            </w:r>
            <w:r/>
          </w:p>
        </w:tc>
        <w:tc>
          <w:tcPr>
            <w:tcW w:w="6104" w:type="dxa"/>
            <w:vAlign w:val="center"/>
            <w:textDirection w:val="lrTb"/>
            <w:noWrap w:val="false"/>
          </w:tcPr>
          <w:p>
            <w:pPr>
              <w:pStyle w:val="1035"/>
              <w:ind w:firstLine="0"/>
              <w:jc w:val="both"/>
              <w:spacing w:before="0" w:after="0" w:line="240" w:lineRule="auto"/>
              <w:rPr>
                <w:rFonts w:hint="eastAsia" w:ascii="宋体" w:hAnsi="宋体" w:cs="宋体"/>
                <w:bCs/>
                <w:color w:val="000000" w:themeColor="text1"/>
                <w:highlight w:val="white"/>
                <w14:textFill>
                  <w14:solidFill>
                    <w14:schemeClr w14:val="tx1"/>
                  </w14:solidFill>
                </w14:textFill>
              </w:rPr>
            </w:pPr>
            <w:r>
              <w:rPr>
                <w:rFonts w:hint="eastAsia" w:ascii="宋体" w:hAnsi="宋体" w:cs="宋体"/>
                <w:bCs/>
                <w:color w:val="000000" w:themeColor="text1"/>
                <w:highlight w:val="white"/>
                <w14:textFill>
                  <w14:solidFill>
                    <w14:schemeClr w14:val="tx1"/>
                  </w14:solidFill>
                </w14:textFill>
              </w:rPr>
              <w:t xml:space="preserve">《联合体协议》（如有，格式自拟）。</w:t>
            </w:r>
            <w:r/>
          </w:p>
        </w:tc>
        <w:tc>
          <w:tcPr>
            <w:tcW w:w="2449" w:type="dxa"/>
            <w:vAlign w:val="center"/>
            <w:textDirection w:val="lrTb"/>
            <w:noWrap w:val="false"/>
          </w:tcPr>
          <w:p>
            <w:pPr>
              <w:pStyle w:val="1035"/>
              <w:ind w:firstLine="0"/>
              <w:spacing w:before="0" w:after="0" w:line="240" w:lineRule="auto"/>
              <w:rPr>
                <w:rFonts w:hint="eastAsia" w:ascii="宋体" w:hAnsi="宋体" w:cs="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7"/>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35"/>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35"/>
              <w:ind w:firstLine="0"/>
              <w:jc w:val="both"/>
              <w:spacing w:before="0" w:after="0" w:line="240" w:lineRule="auto"/>
              <w:rPr>
                <w:rFonts w:hint="eastAsia"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35"/>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35"/>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35"/>
              <w:ind w:firstLine="0"/>
              <w:jc w:val="center"/>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35"/>
              <w:ind w:firstLine="0"/>
              <w:jc w:val="both"/>
              <w:spacing w:before="0" w:after="0" w:line="240" w:lineRule="auto"/>
              <w:rPr>
                <w:rFonts w:hint="eastAsia"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35"/>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8"/>
        </w:numPr>
        <w:ind w:firstLine="480"/>
        <w:spacing w:line="500" w:lineRule="exac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  投标文件格式</w:t>
      </w:r>
      <w:r/>
    </w:p>
    <w:p>
      <w:pPr>
        <w:pStyle w:val="1035"/>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  标  文  件</w:t>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jc w:val="center"/>
        <w:rPr>
          <w:rFonts w:hint="eastAsia" w:ascii="宋体" w:hAnsi="宋体"/>
          <w:b/>
          <w:color w:val="000000" w:themeColor="text1"/>
          <w:sz w:val="72"/>
          <w:highlight w:val="white"/>
          <w:shd w:val="clear" w:color="ffffff" w:fill="d9d9d9"/>
          <w14:textFill>
            <w14:solidFill>
              <w14:schemeClr w14:val="tx1"/>
            </w14:solidFill>
          </w14:textFill>
        </w:rPr>
      </w:pPr>
      <w:r>
        <w:rPr>
          <w:rFonts w:hint="eastAsia" w:ascii="宋体" w:hAnsi="宋体"/>
          <w:b/>
          <w:color w:val="000000" w:themeColor="text1"/>
          <w:sz w:val="72"/>
          <w:highlight w:val="whit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JSZC-320200-XWJC-G2025-0110</w:t>
      </w:r>
      <w:r/>
    </w:p>
    <w:p>
      <w:pPr>
        <w:ind w:left="3405" w:hanging="1605"/>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江南大学附属医院激光共聚焦显微镜项目</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    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rPr>
          <w:rFonts w:hint="eastAsia"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JSZC-320200-XWJC-G2025-0110</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33"/>
        <w:ind w:firstLine="480"/>
        <w:rPr>
          <w:rFonts w:hint="eastAsia"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33"/>
        <w:ind w:firstLine="48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33"/>
        <w:ind w:firstLine="0"/>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                     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color w:val="000000" w:themeColor="text1"/>
          <w:sz w:val="24"/>
          <w:szCs w:val="24"/>
          <w:highlight w:val="white"/>
          <w:u w:val="single"/>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             被授权人签字：</w:t>
      </w:r>
      <w:r>
        <w:rPr>
          <w:rFonts w:hint="eastAsia"/>
          <w:color w:val="000000" w:themeColor="text1"/>
          <w:sz w:val="24"/>
          <w:szCs w:val="24"/>
          <w:highlight w:val="white"/>
          <w:u w:val="single"/>
          <w14:textFill>
            <w14:solidFill>
              <w14:schemeClr w14:val="tx1"/>
            </w14:solidFill>
          </w14:textFill>
        </w:rPr>
        <w:t xml:space="preserve">        </w:t>
      </w:r>
      <w:r/>
    </w:p>
    <w:p>
      <w:pPr>
        <w:pStyle w:val="1033"/>
        <w:ind w:firstLine="0"/>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33"/>
        <w:ind w:firstLine="0"/>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white"/>
          <w14:textFill>
            <w14:solidFill>
              <w14:schemeClr w14:val="tx1"/>
            </w14:solidFill>
          </w14:textFill>
        </w:rPr>
        <w:t xml:space="preserve">法定代表人</w:t>
      </w:r>
      <w:r>
        <w:rPr>
          <w:rFonts w:hint="eastAsia" w:ascii="宋体" w:hAnsi="宋体"/>
          <w:color w:val="000000" w:themeColor="text1"/>
          <w:sz w:val="24"/>
          <w:szCs w:val="20"/>
          <w:highlight w:val="white"/>
          <w14:textFill>
            <w14:solidFill>
              <w14:schemeClr w14:val="tx1"/>
            </w14:solidFill>
          </w14:textFill>
        </w:rPr>
        <w:t xml:space="preserve">处签字即可。</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33"/>
        <w:numPr>
          <w:ilvl w:val="0"/>
          <w:numId w:val="9"/>
        </w:numPr>
        <w:ind w:firstLine="480"/>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1033"/>
        <w:ind w:firstLine="0"/>
        <w:rPr>
          <w:rFonts w:hint="eastAsia"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6" w:name="报价方关于资格的声明函（格式）"/>
      <w:r/>
      <w:bookmarkEnd w:id="196"/>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JSZC-320200-XWJC-G2025-0110</w:t>
      </w:r>
      <w:r>
        <w:rPr>
          <w:rFonts w:hint="eastAsia" w:ascii="宋体" w:hAnsi="宋体"/>
          <w:bCs/>
          <w:color w:val="000000" w:themeColor="text1"/>
          <w:sz w:val="24"/>
          <w:szCs w:val="24"/>
          <w:highlight w:val="white"/>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1. </w:t>
      </w:r>
      <w:r>
        <w:rPr>
          <w:rFonts w:ascii="宋体" w:hAnsi="宋体"/>
          <w:bCs/>
          <w:color w:val="000000" w:themeColor="text1"/>
          <w:sz w:val="24"/>
          <w:szCs w:val="24"/>
          <w:highlight w:val="white"/>
          <w:u w:val="single"/>
          <w14:textFill>
            <w14:solidFill>
              <w14:schemeClr w14:val="tx1"/>
            </w14:solidFill>
          </w14:textFill>
        </w:rPr>
        <w:t xml:space="preserve">（标的名称）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 （标的名称） </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 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 型企业、微型企业）</w:t>
      </w: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white"/>
          <w14:textFill>
            <w14:solidFill>
              <w14:schemeClr w14:val="tx1"/>
            </w14:solidFill>
          </w14:textFill>
        </w:rPr>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  期：</w:t>
      </w:r>
      <w:r/>
    </w:p>
    <w:p>
      <w:pPr>
        <w:spacing w:line="360" w:lineRule="auto"/>
        <w:rPr>
          <w:b/>
          <w:color w:val="000000" w:themeColor="text1"/>
          <w:sz w:val="30"/>
          <w:szCs w:val="30"/>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六</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JSZC-320200-XWJC-G2025-0110</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22"/>
          <w:rFonts w:hint="eastAsia"/>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0"/>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；传真：</w:t>
      </w:r>
      <w:r>
        <w:rPr>
          <w:rFonts w:hint="eastAsia" w:ascii="宋体" w:hAnsi="宋体"/>
          <w:bCs/>
          <w:color w:val="000000" w:themeColor="text1"/>
          <w:sz w:val="24"/>
          <w:szCs w:val="24"/>
          <w:highlight w:val="white"/>
          <w:u w:val="singl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rPr>
          <w:rFonts w:hint="eastAsia" w:ascii="宋体" w:hAnsi="宋体"/>
          <w:bCs/>
          <w:color w:val="000000" w:themeColor="text1"/>
          <w:sz w:val="24"/>
          <w:szCs w:val="24"/>
          <w:highlight w:val="whit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七、承诺书（给定格式）：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u w:val="single"/>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JSZC-320200-XWJC-G2025-0110</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lang w:val="en-US" w:eastAsia="zh-CN"/>
          <w14:textFill>
            <w14:solidFill>
              <w14:schemeClr w14:val="tx1"/>
            </w14:solidFill>
          </w14:textFill>
        </w:rPr>
        <w:t xml:space="preserve">5</w:t>
      </w:r>
      <w:r>
        <w:rPr>
          <w:rFonts w:hint="eastAsia" w:ascii="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hint="eastAsia"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八、开标一览表（给定格式）：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 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JSZC-320200-XWJC-G2025-0110</w:t>
      </w:r>
      <w:r/>
    </w:p>
    <w:tbl>
      <w:tblPr>
        <w:tblStyle w:val="731"/>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61"/>
              <w:jc w:val="center"/>
              <w:spacing w:line="400" w:lineRule="exact"/>
              <w:rPr>
                <w:rFonts w:hint="eastAsia" w:hAnsi="宋体"/>
                <w:bCs/>
                <w:color w:val="000000" w:themeColor="text1"/>
                <w:szCs w:val="24"/>
                <w:highlight w:val="white"/>
                <w14:textFill>
                  <w14:solidFill>
                    <w14:schemeClr w14:val="tx1"/>
                  </w14:solidFill>
                </w14:textFill>
              </w:rPr>
            </w:pPr>
            <w:r>
              <w:rPr>
                <w:rFonts w:hint="eastAsia"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61"/>
              <w:rPr>
                <w:rFonts w:hint="eastAsia" w:hAnsi="宋体"/>
                <w:b/>
                <w:color w:val="000000" w:themeColor="text1"/>
                <w:szCs w:val="24"/>
                <w:highlight w:val="white"/>
                <w14:textFill>
                  <w14:solidFill>
                    <w14:schemeClr w14:val="tx1"/>
                  </w14:solidFill>
                </w14:textFill>
              </w:rPr>
            </w:pPr>
            <w:r>
              <w:rPr>
                <w:rFonts w:hint="eastAsia"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spacing w:line="400" w:lineRule="exact"/>
        <w:rPr>
          <w:rFonts w:ascii="黑体" w:eastAsia="黑体"/>
          <w:bCs/>
          <w:color w:val="000000"/>
          <w:sz w:val="24"/>
          <w:szCs w:val="24"/>
          <w:highlight w:val="white"/>
        </w:rPr>
      </w:pPr>
      <w:r>
        <w:rPr>
          <w:rFonts w:hint="eastAsia" w:ascii="黑体" w:eastAsia="黑体"/>
          <w:bCs/>
          <w:color w:val="000000"/>
          <w:sz w:val="24"/>
          <w:szCs w:val="24"/>
          <w:highlight w:val="whit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九、细目报价表（给定格式）：</w:t>
      </w:r>
      <w:bookmarkEnd w:id="193"/>
      <w:r/>
      <w:bookmarkEnd w:id="194"/>
      <w:r/>
      <w:bookmarkEnd w:id="195"/>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bookmarkStart w:id="197" w:name="_Toc120614284"/>
      <w:r>
        <w:rPr>
          <w:rFonts w:hint="eastAsia" w:ascii="黑体" w:eastAsia="黑体"/>
          <w:bCs/>
          <w:color w:val="000000" w:themeColor="text1"/>
          <w:sz w:val="28"/>
          <w:szCs w:val="28"/>
          <w:highlight w:val="whit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JSZC-320200-XWJC-G2025-0110</w:t>
      </w:r>
      <w:r/>
    </w:p>
    <w:tbl>
      <w:tblPr>
        <w:tblStyle w:val="731"/>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生产</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厂家</w:t>
            </w:r>
            <w:r/>
          </w:p>
        </w:tc>
        <w:tc>
          <w:tcPr>
            <w:tcW w:w="992" w:type="dxa"/>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产地</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是否中小企业</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免费</w:t>
            </w:r>
            <w:r/>
          </w:p>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质保期</w:t>
            </w:r>
            <w:r/>
          </w:p>
        </w:tc>
        <w:tc>
          <w:tcPr>
            <w:tcW w:w="993"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单报价</w:t>
            </w:r>
            <w:r/>
          </w:p>
        </w:tc>
        <w:tc>
          <w:tcPr>
            <w:tcW w:w="992" w:type="dxa"/>
            <w:vAlign w:val="center"/>
            <w:textDirection w:val="lrTb"/>
            <w:noWrap w:val="false"/>
          </w:tcPr>
          <w:p>
            <w:pPr>
              <w:jc w:val="center"/>
              <w:spacing w:before="5" w:line="360" w:lineRule="auto"/>
              <w:rPr>
                <w:rFonts w:hint="eastAsia" w:asciiTheme="majorEastAsia" w:hAnsiTheme="majorEastAsia" w:eastAsiaTheme="majorEastAsia" w:cstheme="majorEastAsia"/>
                <w:color w:val="000000"/>
                <w:sz w:val="24"/>
                <w:szCs w:val="24"/>
                <w:highlight w:val="white"/>
              </w:rPr>
            </w:pPr>
            <w:r>
              <w:rPr>
                <w:rFonts w:hint="eastAsia" w:asciiTheme="majorEastAsia" w:hAnsiTheme="majorEastAsia" w:eastAsiaTheme="majorEastAsia" w:cstheme="majorEastAsia"/>
                <w:color w:val="000000"/>
                <w:sz w:val="24"/>
                <w:szCs w:val="24"/>
                <w:highlight w:val="whit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　</w:t>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638" w:type="dxa"/>
            <w:vAlign w:val="center"/>
            <w:textDirection w:val="lrTb"/>
            <w:noWrap w:val="false"/>
          </w:tcPr>
          <w:p>
            <w:pP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hint="eastAsia" w:ascii="宋体" w:hAnsi="宋体"/>
                <w:color w:val="000000"/>
                <w:sz w:val="24"/>
                <w:szCs w:val="24"/>
                <w:highlight w:val="white"/>
              </w:rPr>
            </w:pPr>
            <w:r>
              <w:rPr>
                <w:rFonts w:hint="eastAsia" w:ascii="宋体" w:hAnsi="宋体"/>
                <w:color w:val="000000"/>
                <w:sz w:val="24"/>
                <w:szCs w:val="24"/>
                <w:highlight w:val="white"/>
              </w:rPr>
            </w:r>
            <w:r/>
          </w:p>
        </w:tc>
        <w:tc>
          <w:tcPr>
            <w:tcMar>
              <w:left w:w="15" w:type="dxa"/>
              <w:top w:w="15" w:type="dxa"/>
              <w:right w:w="15" w:type="dxa"/>
              <w:bottom w:w="0" w:type="dxa"/>
            </w:tcMar>
            <w:tcW w:w="992" w:type="dxa"/>
            <w:vAlign w:val="center"/>
            <w:textDirection w:val="lrTb"/>
            <w:noWrap/>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3"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c>
          <w:tcPr>
            <w:tcW w:w="992" w:type="dxa"/>
            <w:vAlign w:val="center"/>
            <w:textDirection w:val="lrTb"/>
            <w:noWrap w:val="false"/>
          </w:tcPr>
          <w:p>
            <w:pPr>
              <w:jc w:val="center"/>
              <w:spacing w:line="360" w:lineRule="auto"/>
              <w:rPr>
                <w:rFonts w:hint="eastAsia" w:ascii="宋体" w:hAnsi="宋体"/>
                <w:bCs/>
                <w:color w:val="000000"/>
                <w:sz w:val="24"/>
                <w:szCs w:val="24"/>
                <w:highlight w:val="white"/>
              </w:rPr>
            </w:pPr>
            <w:r>
              <w:rPr>
                <w:rFonts w:hint="eastAsia" w:ascii="宋体" w:hAnsi="宋体"/>
                <w:bCs/>
                <w:color w:val="000000"/>
                <w:sz w:val="24"/>
                <w:szCs w:val="24"/>
                <w:highlight w:val="whit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hint="eastAsia" w:ascii="宋体" w:hAnsi="宋体"/>
                <w:bCs/>
                <w:color w:val="000000"/>
                <w:sz w:val="24"/>
                <w:szCs w:val="24"/>
                <w:highlight w:val="white"/>
              </w:rPr>
            </w:pPr>
            <w:r>
              <w:rPr>
                <w:rFonts w:hint="eastAsia" w:ascii="宋体" w:hAnsi="宋体"/>
                <w:bCs/>
                <w:color w:val="000000"/>
                <w:sz w:val="24"/>
                <w:szCs w:val="24"/>
                <w:highlight w:val="white"/>
              </w:rPr>
              <w:t xml:space="preserve">交货完工期： 合同签订生效后</w:t>
            </w:r>
            <w:r>
              <w:rPr>
                <w:rFonts w:hint="eastAsia" w:ascii="宋体" w:hAnsi="宋体"/>
                <w:bCs/>
                <w:color w:val="000000"/>
                <w:sz w:val="24"/>
                <w:szCs w:val="24"/>
                <w:highlight w:val="white"/>
                <w:u w:val="single"/>
              </w:rPr>
              <w:t xml:space="preserve">     </w:t>
            </w:r>
            <w:r>
              <w:rPr>
                <w:rFonts w:hint="eastAsia" w:ascii="宋体" w:hAnsi="宋体"/>
                <w:bCs/>
                <w:color w:val="000000"/>
                <w:sz w:val="24"/>
                <w:szCs w:val="24"/>
                <w:highlight w:val="whit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color w:val="000000"/>
                <w:sz w:val="24"/>
                <w:szCs w:val="24"/>
                <w:highlight w:val="white"/>
              </w:rPr>
            </w:pPr>
            <w:r>
              <w:rPr>
                <w:rFonts w:hint="eastAsia" w:ascii="宋体" w:hAnsi="宋体"/>
                <w:bCs/>
                <w:color w:val="000000"/>
                <w:sz w:val="24"/>
                <w:szCs w:val="24"/>
                <w:highlight w:val="white"/>
              </w:rPr>
              <w:t xml:space="preserve">总报价：大写                                              小写</w:t>
            </w:r>
            <w:r/>
          </w:p>
        </w:tc>
      </w:tr>
    </w:tbl>
    <w:p>
      <w:pPr>
        <w:spacing w:before="5" w:line="560" w:lineRule="atLeast"/>
        <w:rPr>
          <w:b/>
          <w:bCs/>
          <w:color w:val="000000" w:themeColor="text1"/>
          <w:sz w:val="24"/>
          <w:szCs w:val="24"/>
          <w:highlight w:val="white"/>
          <w14:textFill>
            <w14:solidFill>
              <w14:schemeClr w14:val="tx1"/>
            </w14:solidFill>
          </w14:textFill>
        </w:rPr>
      </w:pPr>
      <w:r>
        <w:rPr>
          <w:b/>
          <w:bCs/>
          <w:color w:val="000000" w:themeColor="text1"/>
          <w:sz w:val="24"/>
          <w:szCs w:val="24"/>
          <w:highlight w:val="white"/>
          <w14:textFill>
            <w14:solidFill>
              <w14:schemeClr w14:val="tx1"/>
            </w14:solidFill>
          </w14:textFill>
        </w:rPr>
      </w:r>
      <w:r/>
    </w:p>
    <w:p>
      <w:pPr>
        <w:spacing w:before="5" w:line="560" w:lineRule="atLeast"/>
        <w:rPr>
          <w:b/>
          <w:bCs/>
          <w:color w:val="000000" w:themeColor="text1"/>
          <w:sz w:val="24"/>
          <w:szCs w:val="24"/>
          <w:highlight w:val="white"/>
          <w14:textFill>
            <w14:solidFill>
              <w14:schemeClr w14:val="tx1"/>
            </w14:solidFill>
          </w14:textFill>
        </w:rPr>
      </w:pPr>
      <w:r>
        <w:rPr>
          <w:rFonts w:hint="eastAsia"/>
          <w:b/>
          <w:bCs/>
          <w:color w:val="000000" w:themeColor="text1"/>
          <w:sz w:val="24"/>
          <w:szCs w:val="24"/>
          <w:highlight w:val="white"/>
          <w14:textFill>
            <w14:solidFill>
              <w14:schemeClr w14:val="tx1"/>
            </w14:solidFill>
          </w14:textFill>
        </w:rPr>
        <w:t xml:space="preserve">投标人名称（盖章）：</w:t>
      </w:r>
      <w:r/>
    </w:p>
    <w:p>
      <w:pPr>
        <w:spacing w:line="400" w:lineRule="exact"/>
        <w:rPr>
          <w:rFonts w:hint="eastAsia" w:ascii="宋体" w:hAnsi="宋体"/>
          <w:b/>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r>
      <w:r/>
    </w:p>
    <w:p>
      <w:pPr>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
          <w:color w:val="000000" w:themeColor="text1"/>
          <w:highlight w:val="white"/>
          <w14:textFill>
            <w14:solidFill>
              <w14:schemeClr w14:val="tx1"/>
            </w14:solidFill>
          </w14:textFill>
        </w:rPr>
        <w:t xml:space="preserve">注：</w:t>
      </w: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1</w:t>
      </w:r>
      <w:r>
        <w:rPr>
          <w:rFonts w:hint="eastAsia" w:ascii="宋体" w:hAnsi="宋体"/>
          <w:bCs/>
          <w:color w:val="000000" w:themeColor="text1"/>
          <w:highlight w:val="white"/>
          <w14:textFill>
            <w14:solidFill>
              <w14:schemeClr w14:val="tx1"/>
            </w14:solidFill>
          </w14:textFill>
        </w:rPr>
        <w:t xml:space="preserve">）</w:t>
      </w:r>
      <w:r>
        <w:rPr>
          <w:rFonts w:hint="eastAsia" w:ascii="宋体"/>
          <w:bCs/>
          <w:color w:val="000000" w:themeColor="text1"/>
          <w:highlight w:val="whit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ind w:firstLine="315"/>
        <w:spacing w:line="400" w:lineRule="exact"/>
        <w:rPr>
          <w:rFonts w:asci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2</w:t>
      </w:r>
      <w:r>
        <w:rPr>
          <w:rFonts w:hint="eastAsia" w:ascii="宋体" w:hAnsi="宋体"/>
          <w:bCs/>
          <w:color w:val="000000" w:themeColor="text1"/>
          <w:highlight w:val="white"/>
          <w14:textFill>
            <w14:solidFill>
              <w14:schemeClr w14:val="tx1"/>
            </w14:solidFill>
          </w14:textFill>
        </w:rPr>
        <w:t xml:space="preserve">）投标人应当根据“采购需求”的内容在上表中详细填写；</w:t>
      </w:r>
      <w:r/>
    </w:p>
    <w:p>
      <w:pPr>
        <w:ind w:firstLine="315"/>
        <w:spacing w:line="400" w:lineRule="exact"/>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t xml:space="preserve">（</w:t>
      </w:r>
      <w:r>
        <w:rPr>
          <w:rFonts w:ascii="宋体" w:hAnsi="宋体"/>
          <w:bCs/>
          <w:color w:val="000000" w:themeColor="text1"/>
          <w:highlight w:val="white"/>
          <w14:textFill>
            <w14:solidFill>
              <w14:schemeClr w14:val="tx1"/>
            </w14:solidFill>
          </w14:textFill>
        </w:rPr>
        <w:t xml:space="preserve">3</w:t>
      </w:r>
      <w:r>
        <w:rPr>
          <w:rFonts w:hint="eastAsia" w:ascii="宋体" w:hAnsi="宋体"/>
          <w:bCs/>
          <w:color w:val="000000" w:themeColor="text1"/>
          <w:highlight w:val="whit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JSZC-320200-XWJC-G2025-0110</w:t>
      </w:r>
      <w:r/>
    </w:p>
    <w:tbl>
      <w:tblPr>
        <w:tblStyle w:val="73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（3）如有技术偏离项，请于本表中列明偏离内容，如需要可自行延长，其余无偏离内容不须赘述。</w:t>
      </w:r>
      <w:bookmarkEnd w:id="185"/>
      <w:r/>
      <w:bookmarkEnd w:id="186"/>
      <w:r/>
      <w:bookmarkEnd w:id="197"/>
      <w:r/>
      <w:bookmarkStart w:id="198" w:name="_Hlt26671374"/>
      <w:r/>
      <w:bookmarkEnd w:id="198"/>
      <w:r/>
      <w:bookmarkStart w:id="199" w:name="_Hlt26609389"/>
      <w:r/>
      <w:bookmarkEnd w:id="199"/>
      <w:r/>
      <w:bookmarkStart w:id="200" w:name="_Hlt26955066"/>
      <w:r/>
      <w:bookmarkEnd w:id="200"/>
      <w:r/>
      <w:bookmarkStart w:id="201" w:name="_格式2__法定代表人授权书"/>
      <w:r/>
      <w:bookmarkEnd w:id="201"/>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十一  项目人员配置清单（给定格式）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JSZC-320200-XWJC-G2025-0110</w:t>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ind w:firstLine="420"/>
        <w:rPr>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rFonts w:hint="eastAsia" w:ascii="宋体" w:hAnsi="宋体"/>
          <w:bCs/>
          <w:color w:val="000000" w:themeColor="text1"/>
          <w:highlight w:val="white"/>
          <w14:textFill>
            <w14:solidFill>
              <w14:schemeClr w14:val="tx1"/>
            </w14:solidFill>
          </w14:textFill>
        </w:rPr>
        <w:outlineLvl w:val="0"/>
      </w:pPr>
      <w:r>
        <w:rPr>
          <w:rFonts w:hint="eastAsia"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十二  《采购需求》中如有要求须提供的证明文件</w:t>
      </w:r>
      <w:r/>
    </w:p>
    <w:p>
      <w:pPr>
        <w:spacing w:line="360" w:lineRule="auto"/>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spacing w:line="360" w:lineRule="auto"/>
        <w:rPr>
          <w:b/>
          <w:color w:val="000000"/>
          <w:sz w:val="30"/>
          <w:szCs w:val="30"/>
          <w:highlight w:val="white"/>
        </w:rPr>
      </w:pPr>
      <w:r>
        <w:rPr>
          <w:rFonts w:hint="eastAsia"/>
          <w:b/>
          <w:color w:val="000000"/>
          <w:sz w:val="30"/>
          <w:szCs w:val="30"/>
          <w:highlight w:val="white"/>
        </w:rPr>
        <w:t xml:space="preserve">1.招标文件第四章“采购需求”规定的投标人需要提供的投标产品技术支持材料和其他相关证明文件</w:t>
      </w:r>
      <w:r/>
    </w:p>
    <w:p>
      <w:pPr>
        <w:spacing w:line="360" w:lineRule="auto"/>
        <w:rPr>
          <w:b/>
          <w:color w:val="000000"/>
          <w:sz w:val="30"/>
          <w:szCs w:val="30"/>
          <w:highlight w:val="white"/>
        </w:rPr>
      </w:pPr>
      <w:r>
        <w:rPr>
          <w:b/>
          <w:color w:val="000000"/>
          <w:sz w:val="30"/>
          <w:szCs w:val="30"/>
          <w:highlight w:val="white"/>
        </w:rPr>
      </w:r>
      <w:r/>
    </w:p>
    <w:p>
      <w:pPr>
        <w:spacing w:line="360" w:lineRule="auto"/>
        <w:rPr>
          <w:rFonts w:hint="eastAsia" w:ascii="黑体" w:hAnsi="黑体"/>
          <w:color w:val="000000" w:themeColor="text1"/>
          <w:sz w:val="28"/>
          <w:szCs w:val="28"/>
          <w:highlight w:val="white"/>
          <w14:textFill>
            <w14:solidFill>
              <w14:schemeClr w14:val="tx1"/>
            </w14:solidFill>
          </w14:textFill>
        </w:rPr>
      </w:pPr>
      <w:r>
        <w:rPr>
          <w:rFonts w:hint="eastAsia"/>
          <w:b/>
          <w:color w:val="000000"/>
          <w:sz w:val="30"/>
          <w:szCs w:val="30"/>
          <w:highlight w:val="white"/>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sz w:val="30"/>
          <w:szCs w:val="30"/>
          <w:highlight w:val="white"/>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江南大学附属医院激光共聚焦显微镜项目</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JSZC-320200-XWJC-G2025-0110</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日接受</w:t>
      </w:r>
      <w:r>
        <w:rPr>
          <w:rFonts w:hint="eastAsia" w:ascii="宋体" w:cs="宋体"/>
          <w:color w:val="000000" w:themeColor="text1"/>
          <w:sz w:val="24"/>
          <w:szCs w:val="24"/>
          <w:highlight w:val="white"/>
          <w:lang w:eastAsia="zh-CN"/>
          <w14:textFill>
            <w14:solidFill>
              <w14:schemeClr w14:val="tx1"/>
            </w14:solidFill>
          </w14:textFill>
        </w:rPr>
        <w:t xml:space="preserve">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ind w:firstLine="4560"/>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pStyle w:val="735"/>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投标人名称（盖章）：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                                  日期：</w:t>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rPr>
          <w:rFonts w:ascii="黑体" w:eastAsia="黑体" w:cs="黑体"/>
          <w:color w:val="000000" w:themeColor="text1"/>
          <w:sz w:val="28"/>
          <w:szCs w:val="28"/>
          <w:highlight w:val="white"/>
          <w14:textFill>
            <w14:solidFill>
              <w14:schemeClr w14:val="tx1"/>
            </w14:solidFill>
          </w14:textFill>
        </w:rPr>
        <w:outlineLvl w:val="0"/>
      </w:pPr>
      <w:r>
        <w:rPr>
          <w:rFonts w:hint="eastAsia" w:ascii="黑体" w:eastAsia="黑体" w:cs="黑体"/>
          <w:color w:val="000000" w:themeColor="text1"/>
          <w:sz w:val="28"/>
          <w:szCs w:val="28"/>
          <w:highlight w:val="white"/>
          <w14:textFill>
            <w14:solidFill>
              <w14:schemeClr w14:val="tx1"/>
            </w14:solidFill>
          </w14:textFill>
        </w:rPr>
        <w:t xml:space="preserve">4.</w:t>
      </w:r>
      <w:r>
        <w:rPr>
          <w:rFonts w:ascii="宋体" w:hAnsi="宋体" w:cs="宋体"/>
          <w:b/>
          <w:color w:val="000000"/>
          <w:sz w:val="30"/>
          <w:highlight w:val="white"/>
        </w:rPr>
        <w:t xml:space="preserve">耗材易耗品及维修配件明细表</w:t>
      </w:r>
      <w:r>
        <w:rPr>
          <w:rFonts w:hint="eastAsia"/>
          <w:b/>
          <w:color w:val="000000" w:themeColor="text1"/>
          <w:sz w:val="30"/>
          <w:szCs w:val="30"/>
          <w:highlight w:val="whit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7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1224"/>
        <w:gridCol w:w="947"/>
        <w:gridCol w:w="960"/>
        <w:gridCol w:w="1016"/>
        <w:gridCol w:w="680"/>
        <w:gridCol w:w="965"/>
        <w:gridCol w:w="1175"/>
        <w:gridCol w:w="1246"/>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配件名称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372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1502"/>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法定代表人或法定代表人授权代表CA签章：</w:t>
      </w:r>
      <w:r/>
    </w:p>
    <w:p>
      <w:pPr>
        <w:ind w:firstLine="4560"/>
        <w:spacing w:line="360" w:lineRule="auto"/>
        <w:rPr>
          <w:rFonts w:hint="eastAsia" w:ascii="宋体" w:hAnsi="宋体" w:cs="仿宋"/>
          <w:color w:val="000000" w:themeColor="text1"/>
          <w:sz w:val="24"/>
          <w:highlight w:val="white"/>
          <w14:textFill>
            <w14:solidFill>
              <w14:schemeClr w14:val="tx1"/>
            </w14:solidFill>
          </w14:textFill>
        </w:rPr>
      </w:pPr>
      <w:r>
        <w:rPr>
          <w:rFonts w:hint="eastAsia" w:ascii="宋体" w:hAnsi="宋体" w:cs="仿宋"/>
          <w:color w:val="000000" w:themeColor="text1"/>
          <w:sz w:val="24"/>
          <w:highlight w:val="white"/>
          <w14:textFill>
            <w14:solidFill>
              <w14:schemeClr w14:val="tx1"/>
            </w14:solidFill>
          </w14:textFill>
        </w:rPr>
        <w:br w:type="page" w:clear="all"/>
      </w:r>
      <w:r/>
    </w:p>
    <w:p>
      <w:pPr>
        <w:spacing w:line="360" w:lineRule="auto"/>
        <w:rPr>
          <w:rFonts w:hint="eastAsia" w:ascii="宋体" w:hAnsi="宋体" w:cs="宋体"/>
          <w:color w:val="000000" w:themeColor="text1"/>
          <w:sz w:val="24"/>
          <w:szCs w:val="24"/>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hint="eastAsia"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               制造</w:t>
      </w:r>
      <w:r>
        <w:rPr>
          <w:rFonts w:ascii="宋体" w:hAnsi="宋体" w:cs="宋体"/>
          <w:color w:val="000000" w:themeColor="text1"/>
          <w:sz w:val="24"/>
          <w:szCs w:val="24"/>
          <w:highlight w:val="white"/>
          <w14:textFill>
            <w14:solidFill>
              <w14:schemeClr w14:val="tx1"/>
            </w14:solidFill>
          </w14:textFill>
        </w:rPr>
        <w:t xml:space="preserve">厂家法定（授权）代表人： </w:t>
      </w:r>
      <w:r>
        <w:rPr>
          <w:rFonts w:ascii="宋体" w:hAnsi="宋体" w:cs="宋体"/>
          <w:color w:val="000000" w:themeColor="text1"/>
          <w:sz w:val="24"/>
          <w:szCs w:val="24"/>
          <w:highlight w:val="white"/>
          <w14:textFill>
            <w14:solidFill>
              <w14:schemeClr w14:val="tx1"/>
            </w14:solidFill>
          </w14:textFill>
        </w:rPr>
        <w:br/>
      </w:r>
      <w:r>
        <w:rPr>
          <w:rFonts w:hint="eastAsia"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  日期：</w:t>
      </w:r>
      <w:r/>
    </w:p>
    <w:p>
      <w:pPr>
        <w:pStyle w:val="742"/>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1"/>
      <w:jc w:val="center"/>
    </w:pPr>
    <w:r>
      <w:fldChar w:fldCharType="begin"/>
    </w:r>
    <w:r>
      <w:instrText xml:space="preserve">PAGE \* MERGEFORMAT</w:instrText>
    </w:r>
    <w:r>
      <w:fldChar w:fldCharType="separate"/>
    </w:r>
    <w:r>
      <w:t xml:space="preserve">26</w:t>
    </w:r>
    <w:r>
      <w:fldChar w:fldCharType="end"/>
    </w:r>
    <w:r/>
  </w:p>
  <w:p>
    <w:pPr>
      <w:pStyle w:val="7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p>
  <w:p>
    <w:pPr>
      <w:pStyle w:val="99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7"/>
  </w:num>
  <w:num w:numId="6">
    <w:abstractNumId w:val="5"/>
  </w:num>
  <w:num w:numId="7">
    <w:abstractNumId w:val="6"/>
  </w:num>
  <w:num w:numId="8">
    <w:abstractNumId w:val="9"/>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1">
    <w:name w:val="Heading 1"/>
    <w:basedOn w:val="720"/>
    <w:next w:val="720"/>
    <w:link w:val="802"/>
    <w:uiPriority w:val="9"/>
    <w:qFormat/>
    <w:pPr>
      <w:keepLines/>
      <w:keepNext/>
      <w:spacing w:before="480" w:after="200"/>
      <w:outlineLvl w:val="0"/>
    </w:pPr>
    <w:rPr>
      <w:rFonts w:ascii="Arial" w:hAnsi="Arial" w:eastAsia="Arial" w:cs="Arial"/>
      <w:sz w:val="40"/>
      <w:szCs w:val="40"/>
    </w:rPr>
  </w:style>
  <w:style w:type="paragraph" w:styleId="722">
    <w:name w:val="Heading 2"/>
    <w:basedOn w:val="720"/>
    <w:next w:val="720"/>
    <w:link w:val="803"/>
    <w:uiPriority w:val="9"/>
    <w:unhideWhenUsed/>
    <w:qFormat/>
    <w:pPr>
      <w:keepLines/>
      <w:keepNext/>
      <w:spacing w:before="360" w:after="200"/>
      <w:outlineLvl w:val="1"/>
    </w:pPr>
    <w:rPr>
      <w:rFonts w:ascii="Arial" w:hAnsi="Arial" w:eastAsia="Arial" w:cs="Arial"/>
      <w:sz w:val="34"/>
    </w:rPr>
  </w:style>
  <w:style w:type="paragraph" w:styleId="723">
    <w:name w:val="Heading 3"/>
    <w:basedOn w:val="720"/>
    <w:next w:val="720"/>
    <w:link w:val="804"/>
    <w:uiPriority w:val="9"/>
    <w:unhideWhenUsed/>
    <w:qFormat/>
    <w:pPr>
      <w:keepLines/>
      <w:keepNext/>
      <w:spacing w:before="320" w:after="200"/>
      <w:outlineLvl w:val="2"/>
    </w:pPr>
    <w:rPr>
      <w:rFonts w:ascii="Arial" w:hAnsi="Arial" w:eastAsia="Arial" w:cs="Arial"/>
      <w:sz w:val="30"/>
      <w:szCs w:val="30"/>
    </w:rPr>
  </w:style>
  <w:style w:type="paragraph" w:styleId="724">
    <w:name w:val="Heading 4"/>
    <w:basedOn w:val="720"/>
    <w:next w:val="720"/>
    <w:link w:val="805"/>
    <w:uiPriority w:val="9"/>
    <w:unhideWhenUsed/>
    <w:qFormat/>
    <w:pPr>
      <w:keepLines/>
      <w:keepNext/>
      <w:spacing w:before="320" w:after="200"/>
      <w:outlineLvl w:val="3"/>
    </w:pPr>
    <w:rPr>
      <w:rFonts w:ascii="Arial" w:hAnsi="Arial" w:eastAsia="Arial" w:cs="Arial"/>
      <w:b/>
      <w:bCs/>
      <w:sz w:val="26"/>
      <w:szCs w:val="26"/>
    </w:rPr>
  </w:style>
  <w:style w:type="paragraph" w:styleId="725">
    <w:name w:val="Heading 5"/>
    <w:basedOn w:val="720"/>
    <w:next w:val="720"/>
    <w:link w:val="806"/>
    <w:uiPriority w:val="9"/>
    <w:unhideWhenUsed/>
    <w:qFormat/>
    <w:pPr>
      <w:keepLines/>
      <w:keepNext/>
      <w:spacing w:before="320" w:after="200"/>
      <w:outlineLvl w:val="4"/>
    </w:pPr>
    <w:rPr>
      <w:rFonts w:ascii="Arial" w:hAnsi="Arial" w:eastAsia="Arial" w:cs="Arial"/>
      <w:b/>
      <w:bCs/>
      <w:sz w:val="24"/>
      <w:szCs w:val="24"/>
    </w:rPr>
  </w:style>
  <w:style w:type="paragraph" w:styleId="726">
    <w:name w:val="Heading 6"/>
    <w:basedOn w:val="720"/>
    <w:next w:val="720"/>
    <w:link w:val="807"/>
    <w:uiPriority w:val="9"/>
    <w:unhideWhenUsed/>
    <w:qFormat/>
    <w:pPr>
      <w:keepLines/>
      <w:keepNext/>
      <w:spacing w:before="320" w:after="200"/>
      <w:outlineLvl w:val="5"/>
    </w:pPr>
    <w:rPr>
      <w:rFonts w:ascii="Arial" w:hAnsi="Arial" w:eastAsia="Arial" w:cs="Arial"/>
      <w:b/>
      <w:bCs/>
      <w:sz w:val="22"/>
      <w:szCs w:val="22"/>
    </w:rPr>
  </w:style>
  <w:style w:type="paragraph" w:styleId="727">
    <w:name w:val="Heading 7"/>
    <w:basedOn w:val="720"/>
    <w:next w:val="720"/>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28">
    <w:name w:val="Heading 8"/>
    <w:basedOn w:val="720"/>
    <w:next w:val="720"/>
    <w:link w:val="809"/>
    <w:uiPriority w:val="9"/>
    <w:unhideWhenUsed/>
    <w:qFormat/>
    <w:pPr>
      <w:keepLines/>
      <w:keepNext/>
      <w:spacing w:before="320" w:after="200"/>
      <w:outlineLvl w:val="7"/>
    </w:pPr>
    <w:rPr>
      <w:rFonts w:ascii="Arial" w:hAnsi="Arial" w:eastAsia="Arial" w:cs="Arial"/>
      <w:i/>
      <w:iCs/>
      <w:sz w:val="22"/>
      <w:szCs w:val="22"/>
    </w:rPr>
  </w:style>
  <w:style w:type="paragraph" w:styleId="729">
    <w:name w:val="Heading 9"/>
    <w:basedOn w:val="720"/>
    <w:next w:val="720"/>
    <w:link w:val="810"/>
    <w:uiPriority w:val="9"/>
    <w:unhideWhenUsed/>
    <w:qFormat/>
    <w:pPr>
      <w:keepLines/>
      <w:keepNext/>
      <w:spacing w:before="320" w:after="200"/>
      <w:outlineLvl w:val="8"/>
    </w:pPr>
    <w:rPr>
      <w:rFonts w:ascii="Arial" w:hAnsi="Arial" w:eastAsia="Arial" w:cs="Arial"/>
      <w:i/>
      <w:iCs/>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toc 7"/>
    <w:basedOn w:val="720"/>
    <w:next w:val="720"/>
    <w:uiPriority w:val="39"/>
    <w:unhideWhenUsed/>
    <w:qFormat/>
    <w:pPr>
      <w:ind w:left="1701"/>
      <w:spacing w:after="57"/>
    </w:pPr>
  </w:style>
  <w:style w:type="paragraph" w:styleId="733">
    <w:name w:val="Caption"/>
    <w:basedOn w:val="720"/>
    <w:next w:val="7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Body Text"/>
    <w:basedOn w:val="720"/>
    <w:uiPriority w:val="0"/>
    <w:unhideWhenUsed/>
    <w:qFormat/>
    <w:pPr>
      <w:spacing w:after="120"/>
    </w:pPr>
    <w:rPr>
      <w:rFonts w:ascii="Calibri" w:hAnsi="Calibri"/>
      <w:szCs w:val="22"/>
    </w:rPr>
  </w:style>
  <w:style w:type="paragraph" w:styleId="735">
    <w:name w:val="Body Text Indent"/>
    <w:basedOn w:val="720"/>
    <w:uiPriority w:val="99"/>
    <w:qFormat/>
    <w:pPr>
      <w:ind w:firstLine="576"/>
    </w:pPr>
    <w:rPr>
      <w:sz w:val="20"/>
      <w:szCs w:val="20"/>
    </w:rPr>
  </w:style>
  <w:style w:type="paragraph" w:styleId="736">
    <w:name w:val="toc 5"/>
    <w:basedOn w:val="720"/>
    <w:next w:val="720"/>
    <w:uiPriority w:val="39"/>
    <w:unhideWhenUsed/>
    <w:qFormat/>
    <w:pPr>
      <w:ind w:left="1134"/>
      <w:spacing w:after="57"/>
    </w:pPr>
  </w:style>
  <w:style w:type="paragraph" w:styleId="737">
    <w:name w:val="toc 3"/>
    <w:basedOn w:val="720"/>
    <w:next w:val="720"/>
    <w:uiPriority w:val="39"/>
    <w:unhideWhenUsed/>
    <w:qFormat/>
    <w:pPr>
      <w:ind w:left="567"/>
      <w:spacing w:after="57"/>
    </w:pPr>
  </w:style>
  <w:style w:type="paragraph" w:styleId="738">
    <w:name w:val="Plain Text"/>
    <w:basedOn w:val="720"/>
    <w:uiPriority w:val="0"/>
    <w:qFormat/>
    <w:rPr>
      <w:rFonts w:ascii="宋体" w:hAnsi="Courier New" w:cs="Courier New"/>
    </w:rPr>
  </w:style>
  <w:style w:type="paragraph" w:styleId="739">
    <w:name w:val="toc 8"/>
    <w:basedOn w:val="720"/>
    <w:next w:val="720"/>
    <w:uiPriority w:val="39"/>
    <w:unhideWhenUsed/>
    <w:qFormat/>
    <w:pPr>
      <w:ind w:left="1984"/>
      <w:spacing w:after="57"/>
    </w:pPr>
  </w:style>
  <w:style w:type="paragraph" w:styleId="740">
    <w:name w:val="endnote text"/>
    <w:basedOn w:val="720"/>
    <w:link w:val="948"/>
    <w:uiPriority w:val="99"/>
    <w:semiHidden/>
    <w:unhideWhenUsed/>
    <w:qFormat/>
    <w:rPr>
      <w:sz w:val="20"/>
    </w:rPr>
  </w:style>
  <w:style w:type="paragraph" w:styleId="741">
    <w:name w:val="Footer"/>
    <w:basedOn w:val="720"/>
    <w:link w:val="821"/>
    <w:uiPriority w:val="99"/>
    <w:unhideWhenUsed/>
    <w:qFormat/>
    <w:pPr>
      <w:tabs>
        <w:tab w:val="center" w:pos="7143" w:leader="none"/>
        <w:tab w:val="right" w:pos="14287" w:leader="none"/>
      </w:tabs>
    </w:pPr>
  </w:style>
  <w:style w:type="paragraph" w:styleId="742">
    <w:name w:val="envelope return"/>
    <w:basedOn w:val="720"/>
    <w:uiPriority w:val="0"/>
    <w:qFormat/>
    <w:rPr>
      <w:rFonts w:ascii="Arial" w:hAnsi="Arial" w:eastAsia="楷体_GB2312"/>
      <w:sz w:val="26"/>
      <w:szCs w:val="20"/>
    </w:rPr>
  </w:style>
  <w:style w:type="paragraph" w:styleId="743">
    <w:name w:val="Header"/>
    <w:basedOn w:val="720"/>
    <w:link w:val="819"/>
    <w:uiPriority w:val="99"/>
    <w:unhideWhenUsed/>
    <w:qFormat/>
    <w:pPr>
      <w:tabs>
        <w:tab w:val="center" w:pos="7143" w:leader="none"/>
        <w:tab w:val="right" w:pos="14287" w:leader="none"/>
      </w:tabs>
    </w:pPr>
  </w:style>
  <w:style w:type="paragraph" w:styleId="744">
    <w:name w:val="toc 1"/>
    <w:basedOn w:val="720"/>
    <w:next w:val="720"/>
    <w:uiPriority w:val="39"/>
    <w:unhideWhenUsed/>
    <w:qFormat/>
    <w:pPr>
      <w:spacing w:after="57"/>
    </w:pPr>
  </w:style>
  <w:style w:type="paragraph" w:styleId="745">
    <w:name w:val="toc 4"/>
    <w:basedOn w:val="720"/>
    <w:next w:val="720"/>
    <w:uiPriority w:val="39"/>
    <w:unhideWhenUsed/>
    <w:qFormat/>
    <w:pPr>
      <w:ind w:left="850"/>
      <w:spacing w:after="57"/>
    </w:pPr>
  </w:style>
  <w:style w:type="paragraph" w:styleId="746">
    <w:name w:val="Subtitle"/>
    <w:basedOn w:val="720"/>
    <w:next w:val="720"/>
    <w:link w:val="814"/>
    <w:uiPriority w:val="11"/>
    <w:qFormat/>
    <w:pPr>
      <w:spacing w:before="200" w:after="200"/>
    </w:pPr>
    <w:rPr>
      <w:sz w:val="24"/>
      <w:szCs w:val="24"/>
    </w:rPr>
  </w:style>
  <w:style w:type="paragraph" w:styleId="747">
    <w:name w:val="footnote text"/>
    <w:basedOn w:val="720"/>
    <w:link w:val="947"/>
    <w:uiPriority w:val="99"/>
    <w:semiHidden/>
    <w:unhideWhenUsed/>
    <w:qFormat/>
    <w:pPr>
      <w:spacing w:after="40"/>
    </w:pPr>
    <w:rPr>
      <w:sz w:val="18"/>
    </w:rPr>
  </w:style>
  <w:style w:type="paragraph" w:styleId="748">
    <w:name w:val="toc 6"/>
    <w:basedOn w:val="720"/>
    <w:next w:val="720"/>
    <w:uiPriority w:val="39"/>
    <w:unhideWhenUsed/>
    <w:qFormat/>
    <w:pPr>
      <w:ind w:left="1417"/>
      <w:spacing w:after="57"/>
    </w:pPr>
  </w:style>
  <w:style w:type="paragraph" w:styleId="749">
    <w:name w:val="table of figures"/>
    <w:basedOn w:val="720"/>
    <w:next w:val="720"/>
    <w:uiPriority w:val="99"/>
    <w:unhideWhenUsed/>
    <w:qFormat/>
  </w:style>
  <w:style w:type="paragraph" w:styleId="750">
    <w:name w:val="toc 2"/>
    <w:basedOn w:val="720"/>
    <w:next w:val="720"/>
    <w:uiPriority w:val="39"/>
    <w:unhideWhenUsed/>
    <w:qFormat/>
    <w:pPr>
      <w:ind w:left="283"/>
      <w:spacing w:after="57"/>
    </w:pPr>
  </w:style>
  <w:style w:type="paragraph" w:styleId="751">
    <w:name w:val="toc 9"/>
    <w:basedOn w:val="720"/>
    <w:next w:val="720"/>
    <w:uiPriority w:val="39"/>
    <w:unhideWhenUsed/>
    <w:qFormat/>
    <w:pPr>
      <w:ind w:left="2268"/>
      <w:spacing w:after="57"/>
    </w:pPr>
  </w:style>
  <w:style w:type="paragraph" w:styleId="752">
    <w:name w:val="Normal (Web)"/>
    <w:basedOn w:val="720"/>
    <w:uiPriority w:val="99"/>
    <w:qFormat/>
    <w:pPr>
      <w:jc w:val="left"/>
      <w:spacing w:before="100" w:beforeAutospacing="1" w:after="100" w:afterAutospacing="1"/>
      <w:widowControl/>
    </w:pPr>
    <w:rPr>
      <w:rFonts w:ascii="宋体" w:hAnsi="宋体" w:cs="宋体"/>
      <w:sz w:val="24"/>
      <w:szCs w:val="24"/>
    </w:rPr>
  </w:style>
  <w:style w:type="paragraph" w:styleId="753">
    <w:name w:val="Title"/>
    <w:basedOn w:val="720"/>
    <w:next w:val="720"/>
    <w:link w:val="813"/>
    <w:uiPriority w:val="10"/>
    <w:qFormat/>
    <w:pPr>
      <w:contextualSpacing/>
      <w:spacing w:before="300" w:after="200"/>
    </w:pPr>
    <w:rPr>
      <w:sz w:val="48"/>
      <w:szCs w:val="48"/>
    </w:rPr>
  </w:style>
  <w:style w:type="paragraph" w:styleId="754">
    <w:name w:val="Body Text First Indent"/>
    <w:basedOn w:val="734"/>
    <w:uiPriority w:val="0"/>
    <w:qFormat/>
    <w:pPr>
      <w:ind w:firstLine="420"/>
      <w:spacing w:line="360" w:lineRule="auto"/>
    </w:pPr>
    <w:rPr>
      <w:rFonts w:ascii="Times New Roman" w:hAnsi="Times New Roman"/>
      <w:szCs w:val="21"/>
    </w:rPr>
  </w:style>
  <w:style w:type="table" w:styleId="755">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footnote reference"/>
    <w:uiPriority w:val="99"/>
    <w:unhideWhenUsed/>
    <w:qFormat/>
    <w:rPr>
      <w:vertAlign w:val="superscript"/>
    </w:rPr>
  </w:style>
  <w:style w:type="table" w:styleId="759" w:customStyle="1">
    <w:name w:val="Plain Table 1"/>
    <w:basedOn w:val="7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basedOn w:val="7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basedOn w:val="7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basedOn w:val="7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2"/>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3"/>
    <w:basedOn w:val="7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7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5 Dark"/>
    <w:basedOn w:val="7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6 Colorful"/>
    <w:basedOn w:val="7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0" w:customStyle="1">
    <w:name w:val="Grid Table 7 Colorful"/>
    <w:basedOn w:val="7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1" w:customStyle="1">
    <w:name w:val="List Table 1 Light"/>
    <w:basedOn w:val="7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2" w:customStyle="1">
    <w:name w:val="List Table 2"/>
    <w:basedOn w:val="7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3" w:customStyle="1">
    <w:name w:val="List Table 3"/>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4" w:customStyle="1">
    <w:name w:val="List Table 4"/>
    <w:basedOn w:val="7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5" w:customStyle="1">
    <w:name w:val="List Table 5 Dark"/>
    <w:basedOn w:val="7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basedOn w:val="7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7 Colorful"/>
    <w:basedOn w:val="7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78" w:customStyle="1">
    <w:name w:val="TOC Heading"/>
    <w:uiPriority w:val="39"/>
    <w:unhideWhenUsed/>
    <w:qFormat/>
    <w:rPr>
      <w:rFonts w:hint="default" w:ascii="Times New Roman" w:hAnsi="Times New Roman" w:eastAsia="宋体" w:cs="Times New Roman"/>
    </w:rPr>
  </w:style>
  <w:style w:type="paragraph" w:styleId="779" w:customStyle="1">
    <w:name w:val="TOC 标题1"/>
    <w:uiPriority w:val="39"/>
    <w:unhideWhenUsed/>
    <w:qFormat/>
    <w:rPr>
      <w:rFonts w:hint="default" w:ascii="Times New Roman" w:hAnsi="Times New Roman" w:eastAsia="宋体" w:cs="Times New Roman"/>
      <w:lang w:val="en-US" w:eastAsia="zh-CN" w:bidi="ar-SA"/>
    </w:rPr>
  </w:style>
  <w:style w:type="paragraph" w:styleId="780" w:customStyle="1">
    <w:name w:val="TOC 标题113"/>
    <w:uiPriority w:val="39"/>
    <w:unhideWhenUsed/>
    <w:qFormat/>
    <w:rPr>
      <w:rFonts w:hint="default" w:ascii="Times New Roman" w:hAnsi="Times New Roman" w:eastAsia="宋体" w:cs="Times New Roman"/>
      <w:lang w:val="en-US" w:eastAsia="zh-CN" w:bidi="ar-SA"/>
    </w:rPr>
  </w:style>
  <w:style w:type="paragraph" w:styleId="781" w:customStyle="1">
    <w:name w:val="TOC 标题112"/>
    <w:uiPriority w:val="39"/>
    <w:unhideWhenUsed/>
    <w:qFormat/>
    <w:rPr>
      <w:rFonts w:hint="default" w:ascii="Times New Roman" w:hAnsi="Times New Roman" w:eastAsia="宋体" w:cs="Times New Roman"/>
      <w:lang w:val="en-US" w:eastAsia="zh-CN" w:bidi="ar-SA"/>
    </w:rPr>
  </w:style>
  <w:style w:type="character" w:styleId="782" w:customStyle="1">
    <w:name w:val="Heading 1 Char"/>
    <w:basedOn w:val="730"/>
    <w:uiPriority w:val="9"/>
    <w:qFormat/>
    <w:rPr>
      <w:rFonts w:ascii="Arial" w:hAnsi="Arial" w:eastAsia="Arial" w:cs="Arial"/>
      <w:sz w:val="40"/>
      <w:szCs w:val="40"/>
    </w:rPr>
  </w:style>
  <w:style w:type="character" w:styleId="783" w:customStyle="1">
    <w:name w:val="Heading 2 Char"/>
    <w:basedOn w:val="730"/>
    <w:uiPriority w:val="9"/>
    <w:qFormat/>
    <w:rPr>
      <w:rFonts w:ascii="Arial" w:hAnsi="Arial" w:eastAsia="Arial" w:cs="Arial"/>
      <w:sz w:val="34"/>
    </w:rPr>
  </w:style>
  <w:style w:type="character" w:styleId="784" w:customStyle="1">
    <w:name w:val="Heading 3 Char"/>
    <w:basedOn w:val="730"/>
    <w:uiPriority w:val="9"/>
    <w:qFormat/>
    <w:rPr>
      <w:rFonts w:ascii="Arial" w:hAnsi="Arial" w:eastAsia="Arial" w:cs="Arial"/>
      <w:sz w:val="30"/>
      <w:szCs w:val="30"/>
    </w:rPr>
  </w:style>
  <w:style w:type="character" w:styleId="785" w:customStyle="1">
    <w:name w:val="Heading 4 Char"/>
    <w:basedOn w:val="730"/>
    <w:uiPriority w:val="9"/>
    <w:qFormat/>
    <w:rPr>
      <w:rFonts w:ascii="Arial" w:hAnsi="Arial" w:eastAsia="Arial" w:cs="Arial"/>
      <w:b/>
      <w:bCs/>
      <w:sz w:val="26"/>
      <w:szCs w:val="26"/>
    </w:rPr>
  </w:style>
  <w:style w:type="character" w:styleId="786" w:customStyle="1">
    <w:name w:val="Heading 5 Char"/>
    <w:basedOn w:val="730"/>
    <w:uiPriority w:val="9"/>
    <w:qFormat/>
    <w:rPr>
      <w:rFonts w:ascii="Arial" w:hAnsi="Arial" w:eastAsia="Arial" w:cs="Arial"/>
      <w:b/>
      <w:bCs/>
      <w:sz w:val="24"/>
      <w:szCs w:val="24"/>
    </w:rPr>
  </w:style>
  <w:style w:type="character" w:styleId="787" w:customStyle="1">
    <w:name w:val="Heading 6 Char"/>
    <w:basedOn w:val="730"/>
    <w:uiPriority w:val="9"/>
    <w:qFormat/>
    <w:rPr>
      <w:rFonts w:ascii="Arial" w:hAnsi="Arial" w:eastAsia="Arial" w:cs="Arial"/>
      <w:b/>
      <w:bCs/>
      <w:sz w:val="22"/>
      <w:szCs w:val="22"/>
    </w:rPr>
  </w:style>
  <w:style w:type="character" w:styleId="788" w:customStyle="1">
    <w:name w:val="Heading 7 Char"/>
    <w:basedOn w:val="730"/>
    <w:uiPriority w:val="9"/>
    <w:qFormat/>
    <w:rPr>
      <w:rFonts w:ascii="Arial" w:hAnsi="Arial" w:eastAsia="Arial" w:cs="Arial"/>
      <w:b/>
      <w:bCs/>
      <w:i/>
      <w:iCs/>
      <w:sz w:val="22"/>
      <w:szCs w:val="22"/>
    </w:rPr>
  </w:style>
  <w:style w:type="character" w:styleId="789" w:customStyle="1">
    <w:name w:val="Heading 8 Char"/>
    <w:basedOn w:val="730"/>
    <w:uiPriority w:val="9"/>
    <w:qFormat/>
    <w:rPr>
      <w:rFonts w:ascii="Arial" w:hAnsi="Arial" w:eastAsia="Arial" w:cs="Arial"/>
      <w:i/>
      <w:iCs/>
      <w:sz w:val="22"/>
      <w:szCs w:val="22"/>
    </w:rPr>
  </w:style>
  <w:style w:type="character" w:styleId="790" w:customStyle="1">
    <w:name w:val="Heading 9 Char"/>
    <w:basedOn w:val="730"/>
    <w:uiPriority w:val="9"/>
    <w:qFormat/>
    <w:rPr>
      <w:rFonts w:ascii="Arial" w:hAnsi="Arial" w:eastAsia="Arial" w:cs="Arial"/>
      <w:i/>
      <w:iCs/>
      <w:sz w:val="21"/>
      <w:szCs w:val="21"/>
    </w:rPr>
  </w:style>
  <w:style w:type="character" w:styleId="791" w:customStyle="1">
    <w:name w:val="Title Char"/>
    <w:basedOn w:val="730"/>
    <w:uiPriority w:val="10"/>
    <w:qFormat/>
    <w:rPr>
      <w:sz w:val="48"/>
      <w:szCs w:val="48"/>
    </w:rPr>
  </w:style>
  <w:style w:type="character" w:styleId="792" w:customStyle="1">
    <w:name w:val="Subtitle Char"/>
    <w:basedOn w:val="730"/>
    <w:uiPriority w:val="11"/>
    <w:qFormat/>
    <w:rPr>
      <w:sz w:val="24"/>
      <w:szCs w:val="24"/>
    </w:rPr>
  </w:style>
  <w:style w:type="character" w:styleId="793" w:customStyle="1">
    <w:name w:val="Quote Char"/>
    <w:uiPriority w:val="29"/>
    <w:qFormat/>
    <w:rPr>
      <w:i/>
    </w:rPr>
  </w:style>
  <w:style w:type="character" w:styleId="794" w:customStyle="1">
    <w:name w:val="Intense Quote Char"/>
    <w:uiPriority w:val="30"/>
    <w:qFormat/>
    <w:rPr>
      <w:i/>
    </w:rPr>
  </w:style>
  <w:style w:type="character" w:styleId="795" w:customStyle="1">
    <w:name w:val="Header Char"/>
    <w:basedOn w:val="730"/>
    <w:uiPriority w:val="99"/>
    <w:qFormat/>
  </w:style>
  <w:style w:type="character" w:styleId="796" w:customStyle="1">
    <w:name w:val="Caption Char"/>
    <w:uiPriority w:val="99"/>
    <w:qFormat/>
  </w:style>
  <w:style w:type="character" w:styleId="797" w:customStyle="1">
    <w:name w:val="Footnote Text Char"/>
    <w:uiPriority w:val="99"/>
    <w:qFormat/>
    <w:rPr>
      <w:sz w:val="18"/>
    </w:rPr>
  </w:style>
  <w:style w:type="character" w:styleId="798" w:customStyle="1">
    <w:name w:val="Endnote Text Char"/>
    <w:uiPriority w:val="99"/>
    <w:qFormat/>
    <w:rPr>
      <w:sz w:val="20"/>
    </w:rPr>
  </w:style>
  <w:style w:type="paragraph" w:styleId="799" w:customStyle="1">
    <w:name w:val="TOC 标题111"/>
    <w:uiPriority w:val="39"/>
    <w:unhideWhenUsed/>
    <w:qFormat/>
    <w:rPr>
      <w:rFonts w:hint="default" w:ascii="Times New Roman" w:hAnsi="Times New Roman" w:eastAsia="宋体" w:cs="Times New Roman"/>
      <w:lang w:val="en-US" w:eastAsia="zh-CN" w:bidi="ar-SA"/>
    </w:rPr>
  </w:style>
  <w:style w:type="paragraph" w:styleId="800" w:customStyle="1">
    <w:name w:val="正文文本缩进1"/>
    <w:basedOn w:val="720"/>
    <w:link w:val="982"/>
    <w:uiPriority w:val="0"/>
    <w:qFormat/>
    <w:pPr>
      <w:ind w:firstLine="645"/>
    </w:pPr>
    <w:rPr>
      <w:rFonts w:ascii="楷体_GB2312" w:eastAsia="楷体_GB2312"/>
      <w:sz w:val="32"/>
      <w:szCs w:val="32"/>
      <w:lang w:eastAsia="en-US"/>
    </w:rPr>
  </w:style>
  <w:style w:type="paragraph" w:styleId="80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02" w:customStyle="1">
    <w:name w:val="标题 1 字符"/>
    <w:link w:val="721"/>
    <w:uiPriority w:val="9"/>
    <w:qFormat/>
    <w:rPr>
      <w:rFonts w:ascii="Arial" w:hAnsi="Arial" w:eastAsia="Arial" w:cs="Arial"/>
      <w:sz w:val="40"/>
      <w:szCs w:val="40"/>
    </w:rPr>
  </w:style>
  <w:style w:type="character" w:styleId="803" w:customStyle="1">
    <w:name w:val="标题 2 字符"/>
    <w:link w:val="722"/>
    <w:uiPriority w:val="9"/>
    <w:qFormat/>
    <w:rPr>
      <w:rFonts w:ascii="Arial" w:hAnsi="Arial" w:eastAsia="Arial" w:cs="Arial"/>
      <w:sz w:val="34"/>
    </w:rPr>
  </w:style>
  <w:style w:type="character" w:styleId="804" w:customStyle="1">
    <w:name w:val="标题 3 字符"/>
    <w:link w:val="723"/>
    <w:uiPriority w:val="9"/>
    <w:qFormat/>
    <w:rPr>
      <w:rFonts w:ascii="Arial" w:hAnsi="Arial" w:eastAsia="Arial" w:cs="Arial"/>
      <w:sz w:val="30"/>
      <w:szCs w:val="30"/>
    </w:rPr>
  </w:style>
  <w:style w:type="character" w:styleId="805" w:customStyle="1">
    <w:name w:val="标题 4 字符"/>
    <w:link w:val="724"/>
    <w:uiPriority w:val="9"/>
    <w:qFormat/>
    <w:rPr>
      <w:rFonts w:ascii="Arial" w:hAnsi="Arial" w:eastAsia="Arial" w:cs="Arial"/>
      <w:b/>
      <w:bCs/>
      <w:sz w:val="26"/>
      <w:szCs w:val="26"/>
    </w:rPr>
  </w:style>
  <w:style w:type="character" w:styleId="806" w:customStyle="1">
    <w:name w:val="标题 5 字符"/>
    <w:link w:val="725"/>
    <w:uiPriority w:val="9"/>
    <w:qFormat/>
    <w:rPr>
      <w:rFonts w:ascii="Arial" w:hAnsi="Arial" w:eastAsia="Arial" w:cs="Arial"/>
      <w:b/>
      <w:bCs/>
      <w:sz w:val="24"/>
      <w:szCs w:val="24"/>
    </w:rPr>
  </w:style>
  <w:style w:type="character" w:styleId="807" w:customStyle="1">
    <w:name w:val="标题 6 字符"/>
    <w:link w:val="726"/>
    <w:uiPriority w:val="9"/>
    <w:qFormat/>
    <w:rPr>
      <w:rFonts w:ascii="Arial" w:hAnsi="Arial" w:eastAsia="Arial" w:cs="Arial"/>
      <w:b/>
      <w:bCs/>
      <w:sz w:val="22"/>
      <w:szCs w:val="22"/>
    </w:rPr>
  </w:style>
  <w:style w:type="character" w:styleId="808" w:customStyle="1">
    <w:name w:val="标题 7 字符"/>
    <w:link w:val="727"/>
    <w:uiPriority w:val="9"/>
    <w:qFormat/>
    <w:rPr>
      <w:rFonts w:ascii="Arial" w:hAnsi="Arial" w:eastAsia="Arial" w:cs="Arial"/>
      <w:b/>
      <w:bCs/>
      <w:i/>
      <w:iCs/>
      <w:sz w:val="22"/>
      <w:szCs w:val="22"/>
    </w:rPr>
  </w:style>
  <w:style w:type="character" w:styleId="809" w:customStyle="1">
    <w:name w:val="标题 8 字符"/>
    <w:link w:val="728"/>
    <w:uiPriority w:val="9"/>
    <w:qFormat/>
    <w:rPr>
      <w:rFonts w:ascii="Arial" w:hAnsi="Arial" w:eastAsia="Arial" w:cs="Arial"/>
      <w:i/>
      <w:iCs/>
      <w:sz w:val="22"/>
      <w:szCs w:val="22"/>
    </w:rPr>
  </w:style>
  <w:style w:type="character" w:styleId="810" w:customStyle="1">
    <w:name w:val="标题 9 字符"/>
    <w:link w:val="729"/>
    <w:uiPriority w:val="9"/>
    <w:qFormat/>
    <w:rPr>
      <w:rFonts w:ascii="Arial" w:hAnsi="Arial" w:eastAsia="Arial" w:cs="Arial"/>
      <w:i/>
      <w:iCs/>
      <w:sz w:val="21"/>
      <w:szCs w:val="21"/>
    </w:rPr>
  </w:style>
  <w:style w:type="paragraph" w:styleId="811">
    <w:name w:val="List Paragraph"/>
    <w:basedOn w:val="720"/>
    <w:uiPriority w:val="34"/>
    <w:qFormat/>
    <w:pPr>
      <w:contextualSpacing/>
      <w:ind w:left="720"/>
    </w:pPr>
  </w:style>
  <w:style w:type="paragraph" w:styleId="812">
    <w:name w:val="No Spacing"/>
    <w:uiPriority w:val="1"/>
    <w:qFormat/>
    <w:rPr>
      <w:rFonts w:hint="default" w:ascii="Calibri" w:hAnsi="Calibri" w:eastAsia="宋体" w:cs="Times New Roman"/>
      <w:lang w:val="en-US" w:eastAsia="zh-CN" w:bidi="ar-SA"/>
    </w:rPr>
  </w:style>
  <w:style w:type="character" w:styleId="813" w:customStyle="1">
    <w:name w:val="标题 字符"/>
    <w:link w:val="753"/>
    <w:uiPriority w:val="10"/>
    <w:qFormat/>
    <w:rPr>
      <w:sz w:val="48"/>
      <w:szCs w:val="48"/>
    </w:rPr>
  </w:style>
  <w:style w:type="character" w:styleId="814" w:customStyle="1">
    <w:name w:val="副标题 字符"/>
    <w:link w:val="746"/>
    <w:uiPriority w:val="11"/>
    <w:qFormat/>
    <w:rPr>
      <w:sz w:val="24"/>
      <w:szCs w:val="24"/>
    </w:rPr>
  </w:style>
  <w:style w:type="paragraph" w:styleId="815">
    <w:name w:val="Quote"/>
    <w:basedOn w:val="720"/>
    <w:next w:val="720"/>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20"/>
    <w:next w:val="720"/>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页眉 字符"/>
    <w:link w:val="743"/>
    <w:uiPriority w:val="99"/>
    <w:qFormat/>
  </w:style>
  <w:style w:type="character" w:styleId="820" w:customStyle="1">
    <w:name w:val="Footer Char"/>
    <w:uiPriority w:val="99"/>
    <w:qFormat/>
  </w:style>
  <w:style w:type="character" w:styleId="821" w:customStyle="1">
    <w:name w:val="页脚 字符"/>
    <w:link w:val="741"/>
    <w:uiPriority w:val="99"/>
    <w:qFormat/>
  </w:style>
  <w:style w:type="table" w:styleId="82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脚注文本 字符"/>
    <w:link w:val="747"/>
    <w:uiPriority w:val="99"/>
    <w:qFormat/>
    <w:rPr>
      <w:sz w:val="18"/>
    </w:rPr>
  </w:style>
  <w:style w:type="character" w:styleId="948" w:customStyle="1">
    <w:name w:val="尾注文本 字符"/>
    <w:link w:val="740"/>
    <w:uiPriority w:val="99"/>
    <w:qFormat/>
    <w:rPr>
      <w:sz w:val="20"/>
    </w:rPr>
  </w:style>
  <w:style w:type="paragraph" w:styleId="949" w:customStyle="1">
    <w:name w:val="TOC 标题11"/>
    <w:uiPriority w:val="39"/>
    <w:unhideWhenUsed/>
    <w:qFormat/>
    <w:rPr>
      <w:rFonts w:hint="default" w:ascii="Calibri" w:hAnsi="Calibri" w:eastAsia="宋体" w:cs="Times New Roman"/>
      <w:lang w:val="en-US" w:eastAsia="zh-CN" w:bidi="ar-SA"/>
    </w:rPr>
  </w:style>
  <w:style w:type="paragraph" w:styleId="950" w:customStyle="1">
    <w:name w:val="标题 11"/>
    <w:basedOn w:val="720"/>
    <w:next w:val="720"/>
    <w:link w:val="962"/>
    <w:uiPriority w:val="0"/>
    <w:qFormat/>
    <w:pPr>
      <w:jc w:val="center"/>
      <w:keepNext/>
      <w:outlineLvl w:val="0"/>
    </w:pPr>
    <w:rPr>
      <w:rFonts w:ascii="楷体_GB2312" w:eastAsia="楷体_GB2312"/>
      <w:sz w:val="28"/>
      <w:szCs w:val="28"/>
      <w:lang w:eastAsia="en-US"/>
    </w:rPr>
  </w:style>
  <w:style w:type="paragraph" w:styleId="951" w:customStyle="1">
    <w:name w:val="标题 21"/>
    <w:basedOn w:val="720"/>
    <w:next w:val="952"/>
    <w:link w:val="96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52" w:customStyle="1">
    <w:name w:val="正文缩进1"/>
    <w:basedOn w:val="720"/>
    <w:link w:val="964"/>
    <w:uiPriority w:val="0"/>
    <w:qFormat/>
    <w:pPr>
      <w:ind w:firstLine="420"/>
    </w:pPr>
    <w:rPr>
      <w:sz w:val="20"/>
      <w:lang w:eastAsia="en-US"/>
    </w:rPr>
  </w:style>
  <w:style w:type="paragraph" w:styleId="953" w:customStyle="1">
    <w:name w:val="标题 31"/>
    <w:basedOn w:val="720"/>
    <w:next w:val="952"/>
    <w:link w:val="965"/>
    <w:uiPriority w:val="0"/>
    <w:qFormat/>
    <w:pPr>
      <w:keepLines/>
      <w:keepNext/>
      <w:spacing w:before="260" w:after="260" w:line="416" w:lineRule="auto"/>
      <w:outlineLvl w:val="2"/>
    </w:pPr>
    <w:rPr>
      <w:b/>
      <w:bCs/>
      <w:sz w:val="32"/>
      <w:szCs w:val="32"/>
      <w:lang w:eastAsia="en-US"/>
    </w:rPr>
  </w:style>
  <w:style w:type="paragraph" w:styleId="954" w:customStyle="1">
    <w:name w:val="标题 41"/>
    <w:basedOn w:val="720"/>
    <w:next w:val="952"/>
    <w:link w:val="966"/>
    <w:uiPriority w:val="0"/>
    <w:qFormat/>
    <w:pPr>
      <w:keepLines/>
      <w:keepNext/>
      <w:spacing w:before="280" w:after="290" w:line="376" w:lineRule="auto"/>
      <w:outlineLvl w:val="3"/>
    </w:pPr>
    <w:rPr>
      <w:rFonts w:ascii="Arial" w:hAnsi="Arial" w:eastAsia="黑体"/>
      <w:b/>
      <w:bCs/>
      <w:sz w:val="28"/>
      <w:szCs w:val="28"/>
      <w:lang w:eastAsia="en-US"/>
    </w:rPr>
  </w:style>
  <w:style w:type="paragraph" w:styleId="955" w:customStyle="1">
    <w:name w:val="标题 51"/>
    <w:basedOn w:val="720"/>
    <w:next w:val="952"/>
    <w:link w:val="967"/>
    <w:uiPriority w:val="0"/>
    <w:qFormat/>
    <w:pPr>
      <w:keepNext/>
      <w:outlineLvl w:val="4"/>
    </w:pPr>
    <w:rPr>
      <w:rFonts w:ascii="宋体"/>
      <w:color w:val="000000"/>
      <w:sz w:val="28"/>
      <w:szCs w:val="28"/>
      <w:lang w:eastAsia="en-US"/>
    </w:rPr>
  </w:style>
  <w:style w:type="paragraph" w:styleId="956" w:customStyle="1">
    <w:name w:val="标题 61"/>
    <w:basedOn w:val="720"/>
    <w:next w:val="720"/>
    <w:link w:val="96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57" w:customStyle="1">
    <w:name w:val="标题 71"/>
    <w:basedOn w:val="720"/>
    <w:next w:val="720"/>
    <w:link w:val="969"/>
    <w:uiPriority w:val="0"/>
    <w:qFormat/>
    <w:pPr>
      <w:numPr>
        <w:ilvl w:val="6"/>
        <w:numId w:val="1"/>
      </w:numPr>
      <w:keepLines/>
      <w:keepNext/>
      <w:spacing w:before="240" w:after="64" w:line="320" w:lineRule="auto"/>
      <w:outlineLvl w:val="6"/>
    </w:pPr>
    <w:rPr>
      <w:b/>
      <w:bCs/>
      <w:sz w:val="24"/>
      <w:szCs w:val="24"/>
      <w:lang w:eastAsia="en-US"/>
    </w:rPr>
  </w:style>
  <w:style w:type="paragraph" w:styleId="958" w:customStyle="1">
    <w:name w:val="标题 81"/>
    <w:basedOn w:val="720"/>
    <w:next w:val="720"/>
    <w:link w:val="970"/>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59" w:customStyle="1">
    <w:name w:val="标题 91"/>
    <w:basedOn w:val="720"/>
    <w:next w:val="720"/>
    <w:link w:val="971"/>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0" w:customStyle="1">
    <w:name w:val="默认段落字体1"/>
    <w:uiPriority w:val="1"/>
    <w:unhideWhenUsed/>
    <w:qFormat/>
  </w:style>
  <w:style w:type="table" w:styleId="961" w:customStyle="1">
    <w:name w:val="普通表格1"/>
    <w:uiPriority w:val="99"/>
    <w:unhideWhenUsed/>
    <w:qFormat/>
    <w:tblPr>
      <w:tblCellMar>
        <w:left w:w="0" w:type="dxa"/>
        <w:top w:w="0" w:type="dxa"/>
        <w:right w:w="0" w:type="dxa"/>
        <w:bottom w:w="0" w:type="dxa"/>
      </w:tblCellMar>
    </w:tblPr>
  </w:style>
  <w:style w:type="character" w:styleId="962" w:customStyle="1">
    <w:name w:val="标题 1 Char"/>
    <w:link w:val="950"/>
    <w:uiPriority w:val="0"/>
    <w:qFormat/>
    <w:rPr>
      <w:rFonts w:ascii="楷体_GB2312" w:hAnsi="Times New Roman" w:eastAsia="楷体_GB2312" w:cs="Times New Roman"/>
      <w:sz w:val="28"/>
      <w:szCs w:val="28"/>
    </w:rPr>
  </w:style>
  <w:style w:type="character" w:styleId="963" w:customStyle="1">
    <w:name w:val="标题 2 Char"/>
    <w:link w:val="951"/>
    <w:uiPriority w:val="0"/>
    <w:qFormat/>
    <w:rPr>
      <w:rFonts w:ascii="Arial" w:hAnsi="Arial" w:eastAsia="幼圆" w:cs="Arial"/>
      <w:b/>
      <w:bCs/>
      <w:sz w:val="44"/>
      <w:szCs w:val="44"/>
    </w:rPr>
  </w:style>
  <w:style w:type="character" w:styleId="964" w:customStyle="1">
    <w:name w:val="正文缩进 Char"/>
    <w:link w:val="952"/>
    <w:uiPriority w:val="0"/>
    <w:qFormat/>
    <w:rPr>
      <w:rFonts w:ascii="Times New Roman" w:hAnsi="Times New Roman" w:eastAsia="宋体" w:cs="Times New Roman"/>
      <w:szCs w:val="21"/>
    </w:rPr>
  </w:style>
  <w:style w:type="character" w:styleId="965" w:customStyle="1">
    <w:name w:val="标题 3 Char"/>
    <w:link w:val="953"/>
    <w:uiPriority w:val="0"/>
    <w:qFormat/>
    <w:rPr>
      <w:rFonts w:ascii="Times New Roman" w:hAnsi="Times New Roman" w:eastAsia="宋体" w:cs="Times New Roman"/>
      <w:b/>
      <w:bCs/>
      <w:sz w:val="32"/>
      <w:szCs w:val="32"/>
    </w:rPr>
  </w:style>
  <w:style w:type="character" w:styleId="966" w:customStyle="1">
    <w:name w:val="标题 4 Char"/>
    <w:link w:val="954"/>
    <w:uiPriority w:val="0"/>
    <w:qFormat/>
    <w:rPr>
      <w:rFonts w:ascii="Arial" w:hAnsi="Arial" w:eastAsia="黑体" w:cs="Arial"/>
      <w:b/>
      <w:bCs/>
      <w:sz w:val="28"/>
      <w:szCs w:val="28"/>
    </w:rPr>
  </w:style>
  <w:style w:type="character" w:styleId="967" w:customStyle="1">
    <w:name w:val="标题 5 Char"/>
    <w:link w:val="955"/>
    <w:uiPriority w:val="0"/>
    <w:qFormat/>
    <w:rPr>
      <w:rFonts w:ascii="宋体" w:hAnsi="Times New Roman" w:eastAsia="宋体" w:cs="Times New Roman"/>
      <w:color w:val="000000"/>
      <w:sz w:val="28"/>
      <w:szCs w:val="28"/>
    </w:rPr>
  </w:style>
  <w:style w:type="character" w:styleId="968" w:customStyle="1">
    <w:name w:val="标题 6 Char"/>
    <w:link w:val="956"/>
    <w:uiPriority w:val="0"/>
    <w:qFormat/>
    <w:rPr>
      <w:rFonts w:ascii="Arial" w:hAnsi="Arial" w:eastAsia="黑体" w:cs="Times New Roman"/>
      <w:b/>
      <w:bCs/>
      <w:sz w:val="24"/>
      <w:szCs w:val="24"/>
    </w:rPr>
  </w:style>
  <w:style w:type="character" w:styleId="969" w:customStyle="1">
    <w:name w:val="标题 7 Char"/>
    <w:link w:val="957"/>
    <w:uiPriority w:val="0"/>
    <w:qFormat/>
    <w:rPr>
      <w:rFonts w:ascii="Times New Roman" w:hAnsi="Times New Roman" w:eastAsia="宋体" w:cs="Times New Roman"/>
      <w:b/>
      <w:bCs/>
      <w:sz w:val="24"/>
      <w:szCs w:val="24"/>
    </w:rPr>
  </w:style>
  <w:style w:type="character" w:styleId="970" w:customStyle="1">
    <w:name w:val="标题 8 Char"/>
    <w:link w:val="958"/>
    <w:uiPriority w:val="0"/>
    <w:qFormat/>
    <w:rPr>
      <w:rFonts w:ascii="Arial" w:hAnsi="Arial" w:eastAsia="黑体" w:cs="Times New Roman"/>
      <w:sz w:val="24"/>
      <w:szCs w:val="24"/>
    </w:rPr>
  </w:style>
  <w:style w:type="character" w:styleId="971" w:customStyle="1">
    <w:name w:val="标题 9 Char"/>
    <w:link w:val="959"/>
    <w:uiPriority w:val="0"/>
    <w:qFormat/>
    <w:rPr>
      <w:rFonts w:ascii="Arial" w:hAnsi="Arial" w:eastAsia="黑体" w:cs="Times New Roman"/>
      <w:szCs w:val="21"/>
    </w:rPr>
  </w:style>
  <w:style w:type="paragraph" w:styleId="972" w:customStyle="1">
    <w:name w:val="列表 31"/>
    <w:basedOn w:val="720"/>
    <w:uiPriority w:val="0"/>
    <w:qFormat/>
    <w:pPr>
      <w:ind w:left="100" w:hanging="200"/>
    </w:pPr>
  </w:style>
  <w:style w:type="paragraph" w:styleId="973" w:customStyle="1">
    <w:name w:val="目录 71"/>
    <w:basedOn w:val="720"/>
    <w:next w:val="720"/>
    <w:uiPriority w:val="0"/>
    <w:semiHidden/>
    <w:qFormat/>
    <w:pPr>
      <w:ind w:left="1260"/>
      <w:jc w:val="left"/>
    </w:pPr>
  </w:style>
  <w:style w:type="paragraph" w:styleId="974" w:customStyle="1">
    <w:name w:val="文档结构图1"/>
    <w:basedOn w:val="720"/>
    <w:link w:val="975"/>
    <w:uiPriority w:val="0"/>
    <w:semiHidden/>
    <w:qFormat/>
    <w:pPr>
      <w:shd w:val="clear" w:color="auto" w:fill="000080"/>
    </w:pPr>
    <w:rPr>
      <w:sz w:val="20"/>
      <w:lang w:eastAsia="en-US"/>
    </w:rPr>
  </w:style>
  <w:style w:type="character" w:styleId="975" w:customStyle="1">
    <w:name w:val="文档结构图 Char"/>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20"/>
    <w:link w:val="977"/>
    <w:uiPriority w:val="0"/>
    <w:semiHidden/>
    <w:qFormat/>
    <w:pPr>
      <w:jc w:val="left"/>
    </w:pPr>
    <w:rPr>
      <w:sz w:val="20"/>
      <w:lang w:eastAsia="en-US"/>
    </w:rPr>
  </w:style>
  <w:style w:type="character" w:styleId="977" w:customStyle="1">
    <w:name w:val="批注文字 Char"/>
    <w:link w:val="976"/>
    <w:uiPriority w:val="0"/>
    <w:semiHidden/>
    <w:qFormat/>
    <w:rPr>
      <w:rFonts w:ascii="Times New Roman" w:hAnsi="Times New Roman" w:eastAsia="宋体" w:cs="Times New Roman"/>
      <w:szCs w:val="21"/>
    </w:rPr>
  </w:style>
  <w:style w:type="paragraph" w:styleId="978" w:customStyle="1">
    <w:name w:val="正文文本 31"/>
    <w:basedOn w:val="720"/>
    <w:link w:val="979"/>
    <w:uiPriority w:val="0"/>
    <w:qFormat/>
    <w:rPr>
      <w:rFonts w:ascii="仿宋_GB2312" w:hAnsi="Arial" w:eastAsia="仿宋_GB2312"/>
      <w:sz w:val="32"/>
      <w:szCs w:val="32"/>
      <w:lang w:eastAsia="en-US"/>
    </w:rPr>
  </w:style>
  <w:style w:type="character" w:styleId="979" w:customStyle="1">
    <w:name w:val="正文文本 3 Char"/>
    <w:link w:val="978"/>
    <w:uiPriority w:val="0"/>
    <w:qFormat/>
    <w:rPr>
      <w:rFonts w:ascii="仿宋_GB2312" w:hAnsi="Arial" w:eastAsia="仿宋_GB2312" w:cs="Times New Roman"/>
      <w:sz w:val="32"/>
      <w:szCs w:val="32"/>
    </w:rPr>
  </w:style>
  <w:style w:type="paragraph" w:styleId="980" w:customStyle="1">
    <w:name w:val="正文文本1"/>
    <w:basedOn w:val="720"/>
    <w:link w:val="981"/>
    <w:uiPriority w:val="0"/>
    <w:qFormat/>
    <w:rPr>
      <w:rFonts w:ascii="楷体_GB2312" w:hAnsi="Arial" w:eastAsia="楷体_GB2312"/>
      <w:sz w:val="28"/>
      <w:szCs w:val="28"/>
      <w:lang w:eastAsia="en-US"/>
    </w:rPr>
  </w:style>
  <w:style w:type="character" w:styleId="981" w:customStyle="1">
    <w:name w:val="正文文本 Char"/>
    <w:link w:val="980"/>
    <w:uiPriority w:val="0"/>
    <w:qFormat/>
    <w:rPr>
      <w:rFonts w:ascii="楷体_GB2312" w:hAnsi="Arial" w:eastAsia="楷体_GB2312" w:cs="Times New Roman"/>
      <w:sz w:val="28"/>
      <w:szCs w:val="28"/>
    </w:rPr>
  </w:style>
  <w:style w:type="character" w:styleId="982" w:customStyle="1">
    <w:name w:val="正文文本缩进 Char"/>
    <w:link w:val="800"/>
    <w:uiPriority w:val="0"/>
    <w:qFormat/>
    <w:rPr>
      <w:rFonts w:ascii="楷体_GB2312" w:hAnsi="Times New Roman" w:eastAsia="楷体_GB2312" w:cs="Times New Roman"/>
      <w:sz w:val="32"/>
      <w:szCs w:val="32"/>
    </w:rPr>
  </w:style>
  <w:style w:type="paragraph" w:styleId="983" w:customStyle="1">
    <w:name w:val="列表 21"/>
    <w:basedOn w:val="720"/>
    <w:uiPriority w:val="0"/>
    <w:qFormat/>
    <w:pPr>
      <w:ind w:left="100" w:hanging="200"/>
    </w:pPr>
  </w:style>
  <w:style w:type="paragraph" w:styleId="984" w:customStyle="1">
    <w:name w:val="目录 51"/>
    <w:basedOn w:val="720"/>
    <w:next w:val="720"/>
    <w:uiPriority w:val="0"/>
    <w:semiHidden/>
    <w:qFormat/>
    <w:pPr>
      <w:ind w:left="840"/>
      <w:jc w:val="left"/>
    </w:pPr>
  </w:style>
  <w:style w:type="paragraph" w:styleId="985" w:customStyle="1">
    <w:name w:val="目录 31"/>
    <w:basedOn w:val="720"/>
    <w:next w:val="720"/>
    <w:uiPriority w:val="0"/>
    <w:semiHidden/>
    <w:qFormat/>
    <w:pPr>
      <w:ind w:left="420"/>
      <w:jc w:val="left"/>
    </w:pPr>
    <w:rPr>
      <w:i/>
      <w:iCs/>
      <w:szCs w:val="24"/>
    </w:rPr>
  </w:style>
  <w:style w:type="paragraph" w:styleId="986" w:customStyle="1">
    <w:name w:val="纯文本1"/>
    <w:basedOn w:val="720"/>
    <w:link w:val="987"/>
    <w:uiPriority w:val="0"/>
    <w:qFormat/>
    <w:rPr>
      <w:rFonts w:ascii="宋体" w:hAnsi="Courier New"/>
      <w:sz w:val="20"/>
      <w:lang w:eastAsia="en-US"/>
    </w:rPr>
  </w:style>
  <w:style w:type="character" w:styleId="987" w:customStyle="1">
    <w:name w:val="纯文本 Char"/>
    <w:link w:val="986"/>
    <w:uiPriority w:val="0"/>
    <w:qFormat/>
    <w:rPr>
      <w:rFonts w:ascii="宋体" w:hAnsi="Courier New" w:eastAsia="宋体" w:cs="Courier New"/>
      <w:szCs w:val="21"/>
    </w:rPr>
  </w:style>
  <w:style w:type="paragraph" w:styleId="988" w:customStyle="1">
    <w:name w:val="目录 81"/>
    <w:basedOn w:val="720"/>
    <w:next w:val="720"/>
    <w:uiPriority w:val="0"/>
    <w:semiHidden/>
    <w:qFormat/>
    <w:pPr>
      <w:ind w:left="1470"/>
      <w:jc w:val="left"/>
    </w:pPr>
  </w:style>
  <w:style w:type="paragraph" w:styleId="989" w:customStyle="1">
    <w:name w:val="日期1"/>
    <w:basedOn w:val="720"/>
    <w:next w:val="720"/>
    <w:link w:val="990"/>
    <w:uiPriority w:val="0"/>
    <w:qFormat/>
    <w:rPr>
      <w:sz w:val="24"/>
      <w:szCs w:val="24"/>
      <w:lang w:eastAsia="en-US"/>
    </w:rPr>
  </w:style>
  <w:style w:type="character" w:styleId="990" w:customStyle="1">
    <w:name w:val="日期 Char"/>
    <w:link w:val="989"/>
    <w:uiPriority w:val="0"/>
    <w:qFormat/>
    <w:rPr>
      <w:rFonts w:ascii="Times New Roman" w:hAnsi="Times New Roman" w:eastAsia="宋体" w:cs="Times New Roman"/>
      <w:sz w:val="24"/>
      <w:szCs w:val="24"/>
    </w:rPr>
  </w:style>
  <w:style w:type="paragraph" w:styleId="991" w:customStyle="1">
    <w:name w:val="正文文本缩进 21"/>
    <w:basedOn w:val="720"/>
    <w:link w:val="992"/>
    <w:uiPriority w:val="0"/>
    <w:qFormat/>
    <w:pPr>
      <w:ind w:left="630" w:firstLine="645"/>
    </w:pPr>
    <w:rPr>
      <w:rFonts w:ascii="Arial" w:hAnsi="Arial" w:eastAsia="仿宋_GB2312"/>
      <w:sz w:val="32"/>
      <w:szCs w:val="32"/>
      <w:lang w:eastAsia="en-US"/>
    </w:rPr>
  </w:style>
  <w:style w:type="character" w:styleId="992" w:customStyle="1">
    <w:name w:val="正文文本缩进 2 Char"/>
    <w:link w:val="991"/>
    <w:uiPriority w:val="0"/>
    <w:qFormat/>
    <w:rPr>
      <w:rFonts w:ascii="Arial" w:hAnsi="Arial" w:eastAsia="仿宋_GB2312" w:cs="Arial"/>
      <w:sz w:val="32"/>
      <w:szCs w:val="32"/>
    </w:rPr>
  </w:style>
  <w:style w:type="paragraph" w:styleId="993" w:customStyle="1">
    <w:name w:val="批注框文本1"/>
    <w:basedOn w:val="720"/>
    <w:link w:val="994"/>
    <w:uiPriority w:val="0"/>
    <w:qFormat/>
    <w:rPr>
      <w:sz w:val="18"/>
      <w:szCs w:val="18"/>
      <w:lang w:eastAsia="en-US"/>
    </w:rPr>
  </w:style>
  <w:style w:type="character" w:styleId="994" w:customStyle="1">
    <w:name w:val="批注框文本 Char"/>
    <w:link w:val="993"/>
    <w:uiPriority w:val="0"/>
    <w:qFormat/>
    <w:rPr>
      <w:rFonts w:ascii="Times New Roman" w:hAnsi="Times New Roman" w:eastAsia="宋体" w:cs="Times New Roman"/>
      <w:sz w:val="18"/>
      <w:szCs w:val="18"/>
    </w:rPr>
  </w:style>
  <w:style w:type="paragraph" w:styleId="995" w:customStyle="1">
    <w:name w:val="页脚1"/>
    <w:basedOn w:val="720"/>
    <w:link w:val="996"/>
    <w:uiPriority w:val="0"/>
    <w:qFormat/>
    <w:pPr>
      <w:jc w:val="left"/>
      <w:tabs>
        <w:tab w:val="center" w:pos="4153" w:leader="none"/>
        <w:tab w:val="right" w:pos="8306" w:leader="none"/>
      </w:tabs>
    </w:pPr>
    <w:rPr>
      <w:sz w:val="18"/>
      <w:szCs w:val="18"/>
      <w:lang w:eastAsia="en-US"/>
    </w:rPr>
  </w:style>
  <w:style w:type="character" w:styleId="996" w:customStyle="1">
    <w:name w:val="页脚 Char"/>
    <w:link w:val="995"/>
    <w:uiPriority w:val="0"/>
    <w:qFormat/>
    <w:rPr>
      <w:rFonts w:ascii="Times New Roman" w:hAnsi="Times New Roman" w:eastAsia="宋体" w:cs="Times New Roman"/>
      <w:sz w:val="18"/>
      <w:szCs w:val="18"/>
    </w:rPr>
  </w:style>
  <w:style w:type="paragraph" w:styleId="997" w:customStyle="1">
    <w:name w:val="页眉1"/>
    <w:basedOn w:val="720"/>
    <w:link w:val="99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98" w:customStyle="1">
    <w:name w:val="页眉 Char"/>
    <w:link w:val="997"/>
    <w:uiPriority w:val="0"/>
    <w:qFormat/>
    <w:rPr>
      <w:rFonts w:ascii="Times New Roman" w:hAnsi="Times New Roman" w:eastAsia="宋体" w:cs="Times New Roman"/>
      <w:sz w:val="18"/>
      <w:szCs w:val="18"/>
    </w:rPr>
  </w:style>
  <w:style w:type="paragraph" w:styleId="999" w:customStyle="1">
    <w:name w:val="目录 11"/>
    <w:basedOn w:val="720"/>
    <w:next w:val="720"/>
    <w:uiPriority w:val="0"/>
    <w:semiHidden/>
    <w:qFormat/>
    <w:pPr>
      <w:jc w:val="left"/>
      <w:spacing w:before="120" w:after="120" w:line="400" w:lineRule="exact"/>
      <w:tabs>
        <w:tab w:val="right" w:pos="8720" w:leader="dot"/>
      </w:tabs>
    </w:pPr>
    <w:rPr>
      <w:rFonts w:ascii="宋体" w:hAnsi="宋体"/>
      <w:caps/>
      <w:sz w:val="24"/>
      <w:szCs w:val="24"/>
    </w:rPr>
  </w:style>
  <w:style w:type="paragraph" w:styleId="1000" w:customStyle="1">
    <w:name w:val="目录 41"/>
    <w:basedOn w:val="720"/>
    <w:next w:val="720"/>
    <w:uiPriority w:val="0"/>
    <w:semiHidden/>
    <w:qFormat/>
    <w:pPr>
      <w:ind w:left="630"/>
      <w:jc w:val="left"/>
    </w:pPr>
  </w:style>
  <w:style w:type="paragraph" w:styleId="1001" w:customStyle="1">
    <w:name w:val="列表1"/>
    <w:basedOn w:val="720"/>
    <w:uiPriority w:val="0"/>
    <w:qFormat/>
    <w:pPr>
      <w:ind w:left="200" w:hanging="200"/>
    </w:pPr>
  </w:style>
  <w:style w:type="paragraph" w:styleId="1002" w:customStyle="1">
    <w:name w:val="目录 61"/>
    <w:basedOn w:val="720"/>
    <w:next w:val="720"/>
    <w:uiPriority w:val="0"/>
    <w:semiHidden/>
    <w:qFormat/>
    <w:pPr>
      <w:ind w:left="1050"/>
      <w:jc w:val="left"/>
    </w:pPr>
  </w:style>
  <w:style w:type="paragraph" w:styleId="1003" w:customStyle="1">
    <w:name w:val="正文文本缩进 31"/>
    <w:basedOn w:val="720"/>
    <w:link w:val="1004"/>
    <w:uiPriority w:val="0"/>
    <w:qFormat/>
    <w:pPr>
      <w:ind w:left="645" w:firstLine="645"/>
    </w:pPr>
    <w:rPr>
      <w:rFonts w:ascii="Arial" w:hAnsi="Arial" w:eastAsia="仿宋_GB2312"/>
      <w:color w:val="ffff00"/>
      <w:sz w:val="32"/>
      <w:szCs w:val="32"/>
      <w:lang w:eastAsia="en-US"/>
    </w:rPr>
  </w:style>
  <w:style w:type="character" w:styleId="1004" w:customStyle="1">
    <w:name w:val="正文文本缩进 3 Char"/>
    <w:link w:val="1003"/>
    <w:uiPriority w:val="0"/>
    <w:qFormat/>
    <w:rPr>
      <w:rFonts w:ascii="Arial" w:hAnsi="Arial" w:eastAsia="仿宋_GB2312" w:cs="Arial"/>
      <w:color w:val="ffff00"/>
      <w:sz w:val="32"/>
      <w:szCs w:val="32"/>
    </w:rPr>
  </w:style>
  <w:style w:type="paragraph" w:styleId="1005" w:customStyle="1">
    <w:name w:val="图表目录1"/>
    <w:basedOn w:val="720"/>
    <w:next w:val="720"/>
    <w:uiPriority w:val="0"/>
    <w:semiHidden/>
    <w:qFormat/>
    <w:pPr>
      <w:ind w:left="840" w:hanging="420"/>
    </w:pPr>
  </w:style>
  <w:style w:type="paragraph" w:styleId="1006" w:customStyle="1">
    <w:name w:val="目录 21"/>
    <w:basedOn w:val="720"/>
    <w:next w:val="720"/>
    <w:uiPriority w:val="0"/>
    <w:semiHidden/>
    <w:qFormat/>
    <w:pPr>
      <w:ind w:left="210"/>
      <w:jc w:val="left"/>
    </w:pPr>
    <w:rPr>
      <w:smallCaps/>
      <w:szCs w:val="24"/>
    </w:rPr>
  </w:style>
  <w:style w:type="paragraph" w:styleId="1007" w:customStyle="1">
    <w:name w:val="目录 91"/>
    <w:basedOn w:val="720"/>
    <w:next w:val="720"/>
    <w:uiPriority w:val="0"/>
    <w:semiHidden/>
    <w:qFormat/>
    <w:pPr>
      <w:ind w:left="1680"/>
      <w:jc w:val="left"/>
    </w:pPr>
  </w:style>
  <w:style w:type="paragraph" w:styleId="1008" w:customStyle="1">
    <w:name w:val="正文文本 21"/>
    <w:basedOn w:val="720"/>
    <w:link w:val="1009"/>
    <w:uiPriority w:val="0"/>
    <w:qFormat/>
    <w:pPr>
      <w:jc w:val="center"/>
      <w:widowControl/>
    </w:pPr>
    <w:rPr>
      <w:rFonts w:ascii="楷体_GB2312" w:eastAsia="楷体_GB2312"/>
      <w:sz w:val="28"/>
      <w:szCs w:val="28"/>
      <w:lang w:eastAsia="en-US"/>
    </w:rPr>
  </w:style>
  <w:style w:type="character" w:styleId="1009" w:customStyle="1">
    <w:name w:val="正文文本 2 Char"/>
    <w:link w:val="1008"/>
    <w:uiPriority w:val="0"/>
    <w:qFormat/>
    <w:rPr>
      <w:rFonts w:ascii="楷体_GB2312" w:hAnsi="Times New Roman" w:eastAsia="楷体_GB2312" w:cs="Times New Roman"/>
      <w:sz w:val="28"/>
      <w:szCs w:val="28"/>
    </w:rPr>
  </w:style>
  <w:style w:type="paragraph" w:styleId="1010" w:customStyle="1">
    <w:name w:val="普通(网站)1"/>
    <w:basedOn w:val="720"/>
    <w:uiPriority w:val="99"/>
    <w:qFormat/>
    <w:pPr>
      <w:jc w:val="left"/>
      <w:spacing w:before="100" w:beforeAutospacing="1" w:after="100" w:afterAutospacing="1"/>
      <w:widowControl/>
    </w:pPr>
    <w:rPr>
      <w:rFonts w:ascii="宋体" w:hAnsi="宋体" w:cs="宋体"/>
      <w:sz w:val="24"/>
      <w:szCs w:val="24"/>
    </w:rPr>
  </w:style>
  <w:style w:type="paragraph" w:styleId="1011" w:customStyle="1">
    <w:name w:val="索引 11"/>
    <w:basedOn w:val="720"/>
    <w:next w:val="720"/>
    <w:uiPriority w:val="0"/>
    <w:semiHidden/>
    <w:qFormat/>
    <w:pPr>
      <w:spacing w:line="240" w:lineRule="atLeast"/>
    </w:pPr>
    <w:rPr>
      <w:b/>
      <w:bCs/>
    </w:rPr>
  </w:style>
  <w:style w:type="paragraph" w:styleId="1012" w:customStyle="1">
    <w:name w:val="批注主题1"/>
    <w:basedOn w:val="976"/>
    <w:next w:val="976"/>
    <w:link w:val="1013"/>
    <w:uiPriority w:val="0"/>
    <w:semiHidden/>
    <w:qFormat/>
    <w:rPr>
      <w:b/>
      <w:bCs/>
    </w:rPr>
  </w:style>
  <w:style w:type="character" w:styleId="1013" w:customStyle="1">
    <w:name w:val="批注主题 Char"/>
    <w:link w:val="1012"/>
    <w:uiPriority w:val="0"/>
    <w:semiHidden/>
    <w:qFormat/>
    <w:rPr>
      <w:rFonts w:ascii="Times New Roman" w:hAnsi="Times New Roman" w:eastAsia="宋体" w:cs="Times New Roman"/>
      <w:b/>
      <w:bCs/>
      <w:szCs w:val="21"/>
    </w:rPr>
  </w:style>
  <w:style w:type="paragraph" w:styleId="1014" w:customStyle="1">
    <w:name w:val="正文首行缩进1"/>
    <w:basedOn w:val="720"/>
    <w:link w:val="1015"/>
    <w:uiPriority w:val="0"/>
    <w:qFormat/>
    <w:pPr>
      <w:ind w:firstLine="200"/>
      <w:spacing w:line="360" w:lineRule="auto"/>
    </w:pPr>
    <w:rPr>
      <w:rFonts w:ascii="仿宋_GB2312" w:eastAsia="仿宋_GB2312"/>
      <w:sz w:val="30"/>
      <w:szCs w:val="30"/>
      <w:lang w:eastAsia="en-US"/>
    </w:rPr>
  </w:style>
  <w:style w:type="character" w:styleId="1015" w:customStyle="1">
    <w:name w:val="正文首行缩进 Char"/>
    <w:link w:val="1014"/>
    <w:uiPriority w:val="0"/>
    <w:qFormat/>
    <w:rPr>
      <w:rFonts w:ascii="仿宋_GB2312" w:hAnsi="Times New Roman" w:eastAsia="仿宋_GB2312" w:cs="Times New Roman"/>
      <w:sz w:val="30"/>
      <w:szCs w:val="30"/>
    </w:rPr>
  </w:style>
  <w:style w:type="paragraph" w:styleId="1016" w:customStyle="1">
    <w:name w:val="正文首行缩进 21"/>
    <w:basedOn w:val="800"/>
    <w:link w:val="1017"/>
    <w:uiPriority w:val="0"/>
    <w:qFormat/>
    <w:pPr>
      <w:ind w:firstLine="420"/>
      <w:spacing w:line="360" w:lineRule="auto"/>
    </w:pPr>
    <w:rPr>
      <w:rFonts w:ascii="宋体" w:hAnsi="宋体" w:eastAsia="宋体"/>
      <w:szCs w:val="20"/>
    </w:rPr>
  </w:style>
  <w:style w:type="character" w:styleId="1017" w:customStyle="1">
    <w:name w:val="正文首行缩进 2 Char"/>
    <w:link w:val="1016"/>
    <w:uiPriority w:val="0"/>
    <w:qFormat/>
    <w:rPr>
      <w:rFonts w:ascii="宋体" w:hAnsi="宋体" w:eastAsia="宋体" w:cs="Times New Roman"/>
      <w:sz w:val="32"/>
      <w:szCs w:val="20"/>
    </w:rPr>
  </w:style>
  <w:style w:type="table" w:styleId="1018" w:customStyle="1">
    <w:name w:val="网格型1"/>
    <w:basedOn w:val="961"/>
    <w:uiPriority w:val="0"/>
    <w:qFormat/>
    <w:pPr>
      <w:jc w:val="both"/>
      <w:widowControl w:val="off"/>
    </w:pPr>
    <w:tblPr/>
  </w:style>
  <w:style w:type="character" w:styleId="1019" w:customStyle="1">
    <w:name w:val="要点1"/>
    <w:uiPriority w:val="0"/>
    <w:qFormat/>
    <w:rPr>
      <w:b/>
      <w:bCs/>
    </w:rPr>
  </w:style>
  <w:style w:type="character" w:styleId="1020" w:customStyle="1">
    <w:name w:val="页码1"/>
    <w:uiPriority w:val="0"/>
    <w:qFormat/>
  </w:style>
  <w:style w:type="character" w:styleId="1021" w:customStyle="1">
    <w:name w:val="已访问的超链接1"/>
    <w:uiPriority w:val="0"/>
    <w:qFormat/>
    <w:rPr>
      <w:color w:val="800080"/>
      <w:u w:val="single"/>
    </w:rPr>
  </w:style>
  <w:style w:type="character" w:styleId="1022" w:customStyle="1">
    <w:name w:val="HTML 打字机1"/>
    <w:uiPriority w:val="99"/>
    <w:qFormat/>
    <w:rPr>
      <w:rFonts w:ascii="宋体" w:hAnsi="宋体" w:eastAsia="宋体" w:cs="宋体"/>
      <w:sz w:val="24"/>
      <w:szCs w:val="24"/>
    </w:rPr>
  </w:style>
  <w:style w:type="character" w:styleId="1023" w:customStyle="1">
    <w:name w:val="超链接1"/>
    <w:uiPriority w:val="0"/>
    <w:qFormat/>
    <w:rPr>
      <w:color w:val="0000ff"/>
      <w:u w:val="single"/>
    </w:rPr>
  </w:style>
  <w:style w:type="character" w:styleId="1024" w:customStyle="1">
    <w:name w:val="批注引用1"/>
    <w:uiPriority w:val="0"/>
    <w:semiHidden/>
    <w:qFormat/>
    <w:rPr>
      <w:sz w:val="21"/>
      <w:szCs w:val="21"/>
    </w:rPr>
  </w:style>
  <w:style w:type="character" w:styleId="1025" w:customStyle="1">
    <w:name w:val="font5 Char"/>
    <w:uiPriority w:val="0"/>
    <w:qFormat/>
    <w:rPr>
      <w:rFonts w:ascii="宋体" w:hAnsi="宋体" w:eastAsia="宋体"/>
      <w:sz w:val="28"/>
      <w:szCs w:val="28"/>
      <w:lang w:val="en-US" w:eastAsia="zh-CN" w:bidi="ar-SA"/>
    </w:rPr>
  </w:style>
  <w:style w:type="character" w:styleId="1026" w:customStyle="1">
    <w:name w:val="二级目录 Char"/>
    <w:link w:val="1027"/>
    <w:uiPriority w:val="0"/>
    <w:qFormat/>
    <w:rPr>
      <w:rFonts w:ascii="Calibri" w:hAnsi="Calibri"/>
      <w:b/>
      <w:sz w:val="30"/>
      <w:szCs w:val="28"/>
    </w:rPr>
  </w:style>
  <w:style w:type="paragraph" w:styleId="1027" w:customStyle="1">
    <w:name w:val="二级目录"/>
    <w:next w:val="720"/>
    <w:link w:val="1026"/>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8" w:customStyle="1">
    <w:name w:val="列出段落 Char"/>
    <w:link w:val="1029"/>
    <w:uiPriority w:val="0"/>
    <w:qFormat/>
    <w:rPr>
      <w:rFonts w:ascii="Calibri" w:hAnsi="Calibri"/>
      <w:sz w:val="24"/>
      <w:szCs w:val="24"/>
      <w:lang w:eastAsia="en-US" w:bidi="en-US"/>
    </w:rPr>
  </w:style>
  <w:style w:type="paragraph" w:styleId="1029" w:customStyle="1">
    <w:name w:val="列出段落1"/>
    <w:basedOn w:val="720"/>
    <w:link w:val="1028"/>
    <w:uiPriority w:val="0"/>
    <w:qFormat/>
    <w:pPr>
      <w:contextualSpacing/>
      <w:ind w:left="720"/>
      <w:jc w:val="left"/>
      <w:widowControl/>
    </w:pPr>
    <w:rPr>
      <w:rFonts w:ascii="Calibri" w:hAnsi="Calibri"/>
      <w:sz w:val="24"/>
      <w:szCs w:val="24"/>
      <w:lang w:eastAsia="en-US" w:bidi="en-US"/>
    </w:rPr>
  </w:style>
  <w:style w:type="paragraph" w:styleId="1030" w:customStyle="1">
    <w:name w:val="Body Text(ch)"/>
    <w:basedOn w:val="720"/>
    <w:next w:val="980"/>
    <w:uiPriority w:val="0"/>
    <w:qFormat/>
    <w:pPr>
      <w:spacing w:after="120"/>
    </w:pPr>
    <w:rPr>
      <w:rFonts w:ascii="宋体" w:hAnsi="Arial"/>
      <w:bCs/>
      <w:iCs/>
      <w:szCs w:val="24"/>
    </w:rPr>
  </w:style>
  <w:style w:type="paragraph" w:styleId="1031" w:customStyle="1">
    <w:name w:val="xl27"/>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2" w:customStyle="1">
    <w:name w:val="xl26"/>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3" w:customStyle="1">
    <w:name w:val="Char"/>
    <w:basedOn w:val="720"/>
    <w:uiPriority w:val="0"/>
    <w:qFormat/>
    <w:pPr>
      <w:ind w:firstLine="200"/>
      <w:tabs>
        <w:tab w:val="left" w:pos="360" w:leader="none"/>
      </w:tabs>
    </w:pPr>
    <w:rPr>
      <w:sz w:val="28"/>
      <w:szCs w:val="30"/>
    </w:rPr>
  </w:style>
  <w:style w:type="paragraph" w:styleId="1034" w:customStyle="1">
    <w:name w:val="Char1"/>
    <w:basedOn w:val="974"/>
    <w:uiPriority w:val="0"/>
    <w:qFormat/>
    <w:rPr>
      <w:rFonts w:ascii="Tahoma" w:hAnsi="Tahoma"/>
      <w:sz w:val="24"/>
      <w:szCs w:val="24"/>
    </w:rPr>
  </w:style>
  <w:style w:type="paragraph" w:styleId="1035" w:customStyle="1">
    <w:name w:val="普通正文"/>
    <w:basedOn w:val="720"/>
    <w:uiPriority w:val="0"/>
    <w:qFormat/>
    <w:pPr>
      <w:ind w:firstLine="480"/>
      <w:jc w:val="left"/>
      <w:spacing w:before="120" w:after="120" w:line="360" w:lineRule="auto"/>
    </w:pPr>
    <w:rPr>
      <w:rFonts w:ascii="Arial" w:hAnsi="Arial"/>
      <w:sz w:val="24"/>
      <w:szCs w:val="24"/>
    </w:rPr>
  </w:style>
  <w:style w:type="paragraph" w:styleId="1036" w:customStyle="1">
    <w:name w:val="table_lines"/>
    <w:basedOn w:val="720"/>
    <w:uiPriority w:val="0"/>
    <w:qFormat/>
    <w:pPr>
      <w:jc w:val="left"/>
      <w:widowControl/>
    </w:pPr>
    <w:rPr>
      <w:sz w:val="20"/>
      <w:szCs w:val="20"/>
      <w:lang w:val="de-DE" w:eastAsia="de-DE"/>
    </w:rPr>
  </w:style>
  <w:style w:type="paragraph" w:styleId="10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8" w:customStyle="1">
    <w:name w:val="font7"/>
    <w:basedOn w:val="720"/>
    <w:uiPriority w:val="0"/>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4"/>
    <w:uiPriority w:val="0"/>
    <w:qFormat/>
    <w:pPr>
      <w:spacing w:line="360" w:lineRule="auto"/>
    </w:pPr>
    <w:rPr>
      <w:rFonts w:ascii="Tahoma" w:hAnsi="Tahoma"/>
      <w:sz w:val="24"/>
      <w:szCs w:val="24"/>
    </w:rPr>
  </w:style>
  <w:style w:type="paragraph" w:styleId="1040" w:customStyle="1">
    <w:name w:val="列出段落2"/>
    <w:basedOn w:val="720"/>
    <w:uiPriority w:val="99"/>
    <w:qFormat/>
    <w:pPr>
      <w:contextualSpacing/>
      <w:ind w:left="720"/>
      <w:jc w:val="left"/>
      <w:widowControl/>
    </w:pPr>
    <w:rPr>
      <w:rFonts w:ascii="Calibri" w:hAnsi="Calibri"/>
      <w:sz w:val="24"/>
      <w:szCs w:val="24"/>
      <w:lang w:eastAsia="en-US" w:bidi="en-US"/>
    </w:rPr>
  </w:style>
  <w:style w:type="paragraph" w:styleId="1041" w:customStyle="1">
    <w:name w:val="4"/>
    <w:basedOn w:val="720"/>
    <w:next w:val="1003"/>
    <w:uiPriority w:val="0"/>
    <w:qFormat/>
    <w:pPr>
      <w:ind w:firstLine="420"/>
      <w:spacing w:line="360" w:lineRule="auto"/>
    </w:pPr>
    <w:rPr>
      <w:color w:val="ff0000"/>
      <w:sz w:val="24"/>
      <w:szCs w:val="24"/>
    </w:rPr>
  </w:style>
  <w:style w:type="paragraph" w:styleId="1042" w:customStyle="1">
    <w:name w:val="普通 (Web)"/>
    <w:basedOn w:val="720"/>
    <w:uiPriority w:val="0"/>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20"/>
    <w:uiPriority w:val="0"/>
    <w:qFormat/>
    <w:pPr>
      <w:spacing w:line="360" w:lineRule="auto"/>
    </w:pPr>
    <w:rPr>
      <w:sz w:val="24"/>
      <w:szCs w:val="20"/>
    </w:rPr>
  </w:style>
  <w:style w:type="paragraph" w:styleId="1044" w:customStyle="1">
    <w:name w:val="样式1"/>
    <w:basedOn w:val="720"/>
    <w:uiPriority w:val="0"/>
    <w:qFormat/>
    <w:pPr>
      <w:numPr>
        <w:ilvl w:val="0"/>
        <w:numId w:val="3"/>
      </w:numPr>
    </w:pPr>
    <w:rPr>
      <w:rFonts w:ascii="宋体" w:hAnsi="宋体"/>
    </w:rPr>
  </w:style>
  <w:style w:type="paragraph" w:styleId="1045" w:customStyle="1">
    <w:name w:val="font6"/>
    <w:basedOn w:val="720"/>
    <w:uiPriority w:val="0"/>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2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20"/>
    <w:next w:val="72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20"/>
    <w:next w:val="720"/>
    <w:uiPriority w:val="0"/>
    <w:qFormat/>
    <w:pPr>
      <w:ind w:firstLine="624"/>
      <w:spacing w:line="590" w:lineRule="atLeast"/>
    </w:pPr>
    <w:rPr>
      <w:rFonts w:ascii="方正黑体_GBK" w:eastAsia="方正黑体_GBK"/>
      <w:sz w:val="32"/>
      <w:szCs w:val="32"/>
    </w:rPr>
  </w:style>
  <w:style w:type="paragraph" w:styleId="1049" w:customStyle="1">
    <w:name w:val="xl24"/>
    <w:basedOn w:val="72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2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20"/>
    <w:uiPriority w:val="0"/>
    <w:qFormat/>
    <w:pPr>
      <w:jc w:val="left"/>
      <w:spacing w:after="160" w:line="240" w:lineRule="exact"/>
      <w:widowControl/>
    </w:pPr>
    <w:rPr>
      <w:rFonts w:ascii="Verdana" w:hAnsi="Verdana"/>
      <w:sz w:val="20"/>
      <w:szCs w:val="20"/>
      <w:lang w:eastAsia="en-US"/>
    </w:rPr>
  </w:style>
  <w:style w:type="paragraph" w:styleId="1052" w:customStyle="1">
    <w:name w:val="xl28"/>
    <w:basedOn w:val="72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1"/>
    <w:basedOn w:val="720"/>
    <w:uiPriority w:val="0"/>
    <w:qFormat/>
    <w:pPr>
      <w:jc w:val="left"/>
      <w:spacing w:after="160" w:line="240" w:lineRule="exact"/>
      <w:widowControl/>
    </w:pPr>
    <w:rPr>
      <w:rFonts w:ascii="Verdana" w:hAnsi="Verdana"/>
      <w:sz w:val="20"/>
      <w:szCs w:val="20"/>
      <w:lang w:eastAsia="en-US"/>
    </w:rPr>
  </w:style>
  <w:style w:type="paragraph" w:styleId="1054" w:customStyle="1">
    <w:name w:val="xl30"/>
    <w:basedOn w:val="720"/>
    <w:uiPriority w:val="0"/>
    <w:qFormat/>
    <w:pPr>
      <w:jc w:val="center"/>
      <w:spacing w:before="100" w:beforeAutospacing="1" w:after="100" w:afterAutospacing="1"/>
      <w:widowControl/>
    </w:pPr>
    <w:rPr>
      <w:rFonts w:ascii="宋体" w:hAnsi="宋体"/>
      <w:b/>
      <w:bCs/>
      <w:sz w:val="36"/>
      <w:szCs w:val="36"/>
    </w:rPr>
  </w:style>
  <w:style w:type="paragraph" w:styleId="1055" w:customStyle="1">
    <w:name w:val="Char Char Char Char1"/>
    <w:basedOn w:val="974"/>
    <w:uiPriority w:val="0"/>
    <w:qFormat/>
    <w:pPr>
      <w:spacing w:line="360" w:lineRule="auto"/>
    </w:pPr>
    <w:rPr>
      <w:rFonts w:ascii="Tahoma" w:hAnsi="Tahoma"/>
      <w:sz w:val="24"/>
      <w:szCs w:val="24"/>
    </w:rPr>
  </w:style>
  <w:style w:type="paragraph" w:styleId="1056" w:customStyle="1">
    <w:name w:val="table_1stline"/>
    <w:basedOn w:val="720"/>
    <w:uiPriority w:val="0"/>
    <w:qFormat/>
    <w:pPr>
      <w:jc w:val="left"/>
      <w:spacing w:before="120"/>
      <w:widowControl/>
    </w:pPr>
    <w:rPr>
      <w:bCs/>
      <w:sz w:val="20"/>
      <w:szCs w:val="20"/>
      <w:lang w:val="de-DE" w:eastAsia="de-DE"/>
    </w:rPr>
  </w:style>
  <w:style w:type="paragraph" w:styleId="1057" w:customStyle="1">
    <w:name w:val="font5"/>
    <w:basedOn w:val="720"/>
    <w:uiPriority w:val="0"/>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20"/>
    <w:next w:val="7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1" w:customStyle="1">
    <w:name w:val="普通文字"/>
    <w:basedOn w:val="720"/>
    <w:next w:val="720"/>
    <w:uiPriority w:val="99"/>
    <w:qFormat/>
    <w:rPr>
      <w:rFonts w:ascii="宋体"/>
      <w:sz w:val="24"/>
      <w:szCs w:val="20"/>
    </w:rPr>
  </w:style>
  <w:style w:type="paragraph" w:styleId="1062" w:customStyle="1">
    <w:name w:val="目录 111"/>
    <w:basedOn w:val="720"/>
    <w:next w:val="720"/>
    <w:uiPriority w:val="39"/>
    <w:unhideWhenUsed/>
    <w:qFormat/>
    <w:pPr>
      <w:jc w:val="left"/>
      <w:spacing w:after="100" w:line="259" w:lineRule="auto"/>
      <w:widowControl/>
    </w:pPr>
    <w:rPr>
      <w:rFonts w:ascii="Calibri" w:hAnsi="Calibri"/>
      <w:sz w:val="22"/>
      <w:szCs w:val="22"/>
    </w:rPr>
  </w:style>
  <w:style w:type="numbering" w:styleId="10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14</cp:revision>
  <dcterms:created xsi:type="dcterms:W3CDTF">2025-05-16T02:17:00Z</dcterms:created>
  <dcterms:modified xsi:type="dcterms:W3CDTF">2025-11-06T07:54:54Z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3C4E384858C94AFB8BD0FB13019F1A43_13</vt:lpwstr>
  </property>
  <property fmtid="{D5CDD505-2E9C-101B-9397-08002B2CF9AE}" pid="4" name="KSOTemplateDocerSaveRecord">
    <vt:lpwstr>eyJoZGlkIjoiYWEwNDBkZDVjMDI2NzVhN2Q2ZjdkYzk3NDg0ZWQ4YWQiLCJ1c2VySWQiOiI1Mzk3NjA2MDAifQ==</vt:lpwstr>
  </property>
</Properties>
</file>